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DE55" w14:textId="77777777" w:rsidR="00574685" w:rsidRDefault="00574685" w:rsidP="007A7325">
      <w:pPr>
        <w:ind w:right="540"/>
      </w:pPr>
    </w:p>
    <w:p w14:paraId="44E17632" w14:textId="77777777" w:rsidR="00D8422A" w:rsidRDefault="00D8422A" w:rsidP="007A7325">
      <w:pPr>
        <w:ind w:right="540"/>
      </w:pPr>
    </w:p>
    <w:p w14:paraId="77B95ECC" w14:textId="3382F433" w:rsidR="00D8422A" w:rsidRPr="00714725" w:rsidRDefault="00941FA7" w:rsidP="00B56EAD">
      <w:pPr>
        <w:ind w:right="540"/>
        <w:jc w:val="center"/>
        <w:rPr>
          <w:rFonts w:ascii="Aptos" w:hAnsi="Aptos"/>
          <w:sz w:val="20"/>
          <w:szCs w:val="20"/>
        </w:rPr>
      </w:pPr>
      <w:r w:rsidRPr="00714725">
        <w:rPr>
          <w:rFonts w:ascii="Aptos" w:hAnsi="Aptos"/>
          <w:sz w:val="20"/>
          <w:szCs w:val="20"/>
        </w:rPr>
        <w:t xml:space="preserve">Last Updated April </w:t>
      </w:r>
      <w:r w:rsidR="00714725" w:rsidRPr="00714725">
        <w:rPr>
          <w:rFonts w:ascii="Aptos" w:hAnsi="Aptos"/>
          <w:sz w:val="20"/>
          <w:szCs w:val="20"/>
        </w:rPr>
        <w:t>5, 2026</w:t>
      </w:r>
      <w:r w:rsidR="00714725" w:rsidRPr="00714725">
        <w:rPr>
          <w:rFonts w:ascii="Aptos" w:hAnsi="Aptos"/>
          <w:sz w:val="20"/>
          <w:szCs w:val="20"/>
        </w:rPr>
        <w:br/>
      </w:r>
    </w:p>
    <w:p w14:paraId="0A757B79" w14:textId="77777777" w:rsidR="00B56EAD" w:rsidRDefault="00B56EAD" w:rsidP="00B56EAD">
      <w:pPr>
        <w:pStyle w:val="Title"/>
      </w:pPr>
      <w:r w:rsidRPr="00B56EAD">
        <w:t>Guide Form Specification for Medium-Voltage Metal-Enclosed Harmonic Filter Banks for Semiconductor and Precision Manufacturing Applications</w:t>
      </w:r>
    </w:p>
    <w:p w14:paraId="64E65736" w14:textId="07F93199" w:rsidR="00077538" w:rsidRPr="00D304CB" w:rsidRDefault="00896728" w:rsidP="00306CE9">
      <w:pPr>
        <w:pStyle w:val="Title"/>
        <w:ind w:left="-270"/>
        <w:jc w:val="left"/>
        <w:rPr>
          <w:sz w:val="24"/>
          <w:szCs w:val="24"/>
        </w:rPr>
      </w:pPr>
      <w:r>
        <w:br/>
      </w:r>
      <w:r w:rsidR="00B56EAD" w:rsidRPr="00D304CB">
        <w:rPr>
          <w:sz w:val="24"/>
          <w:szCs w:val="24"/>
        </w:rPr>
        <w:t>Design Criteria</w:t>
      </w:r>
      <w:r w:rsidR="00B56EAD" w:rsidRPr="00D304CB">
        <w:rPr>
          <w:b w:val="0"/>
          <w:bCs w:val="0"/>
          <w:sz w:val="24"/>
          <w:szCs w:val="24"/>
        </w:rPr>
        <w:t>: Semiconductor and Precision Manufacturing Applications. Typical for semiconductor fabrication plants, microelectronics manufacturing facilities, and other precision manufacturing operations requiring transient-free switching, harmonic mitigation, resonance control, and highly stable medium-voltage power systems for sensitive process equipment.</w:t>
      </w:r>
      <w:r w:rsidR="00667E6F" w:rsidRPr="00D304CB">
        <w:rPr>
          <w:sz w:val="24"/>
          <w:szCs w:val="24"/>
        </w:rPr>
        <w:br/>
      </w:r>
    </w:p>
    <w:p w14:paraId="166A02BD" w14:textId="7AD3C9EA" w:rsidR="00667E6F" w:rsidRPr="009D4DA6" w:rsidRDefault="008461C5" w:rsidP="00055CCE">
      <w:pPr>
        <w:pStyle w:val="Heading1"/>
        <w:ind w:right="810"/>
      </w:pPr>
      <w:r w:rsidRPr="009D4DA6">
        <w:t>General</w:t>
      </w:r>
    </w:p>
    <w:p w14:paraId="2F6E8031" w14:textId="6026CA7F" w:rsidR="009C3592" w:rsidRDefault="00D63848" w:rsidP="00366FDB">
      <w:pPr>
        <w:pStyle w:val="Heading2"/>
      </w:pPr>
      <w:r w:rsidRPr="00CE7509">
        <w:rPr>
          <w:b/>
        </w:rPr>
        <w:t>Scope of Work</w:t>
      </w:r>
      <w:r w:rsidR="00CE7509" w:rsidRPr="00CE7509">
        <w:rPr>
          <w:b/>
        </w:rPr>
        <w:br/>
      </w:r>
      <w:r w:rsidR="00CE7509" w:rsidRPr="00CE7509">
        <w:t xml:space="preserve">This specification governs the design, manufacture, and testing of a medium-voltage, three-phase, metal-enclosed automatic harmonic filter bank intended for application </w:t>
      </w:r>
      <w:r w:rsidR="00FA2DD0">
        <w:t>on</w:t>
      </w:r>
      <w:r w:rsidR="00CE7509" w:rsidRPr="00CE7509">
        <w:t xml:space="preserve"> semiconductor fabrication plants, microelectronics manufacturing facilities, and other precision manufacturing power systems. These facilities are among the most electrically sensitive industrial applications and typically require dedicated harmonic filtering and reactive compensation systems that do not introduce switching disturbances, objectionable harmonic amplification, or resonance conditions that could adversely affect sensitive process equipment.</w:t>
      </w:r>
      <w:r w:rsidR="00CE7509">
        <w:br/>
      </w:r>
      <w:r w:rsidR="00CE7509">
        <w:br/>
      </w:r>
      <w:r w:rsidR="00CE7509" w:rsidRPr="00CE7509">
        <w:t>The harmonic filter bank shall be provided as a fully integrated, compartmentalized assembly consisting of single-tuned, multi-tuned, high-pass, C-type high-pass, de-tuned, or other specified filter branches, including all switching, protection, control, relaying, metering, and auxiliary components. The system shall be specifically designed for the intended semiconductor or precision manufacturing application and shall not be based on a standard general industrial filter design. The equipment shall be shipped completely assembled and factory-tested, requiring only field anchorage, removal of shipping supports, and connection to the plant grounding, control, and medium-voltage power distribution system. This structure is also consistent with the way your existing rectifier guideform frames the front end of the specification.</w:t>
      </w:r>
      <w:r w:rsidR="00CE7509">
        <w:br/>
      </w:r>
      <w:r w:rsidR="00CE7509">
        <w:br/>
      </w:r>
      <w:r w:rsidR="00CE7509" w:rsidRPr="00CE7509">
        <w:t xml:space="preserve">The design shall account for the actual harmonic-producing loads and operating characteristics of the facility, including </w:t>
      </w:r>
      <w:r w:rsidR="00546096" w:rsidRPr="00546096">
        <w:t>facility-scale UPS systems, medium-voltage VFD-driven chillers and cleanroom air systems, and other aggregated non-linear process-tool power systems</w:t>
      </w:r>
      <w:r w:rsidR="00CE7509" w:rsidRPr="00CE7509">
        <w:t>, lithography and etching support systems, VFD-driven cleanroom fans, chillers, and other non-linear plant loads. The control system and overall design shall recognize that transient-free switching, harmonic mitigation, and resonance prevention are often primary objectives in these facilities, and that power factor correction must be achieved without creating disturbances that are visible to sensitive manufacturing tools. Filter branch ratings, tuning, damping, and switching arrangements shall therefore be selected based on the actual process duty, harmonic spectrum, system sensitivity, and operating conditions of the facility.</w:t>
      </w:r>
      <w:r w:rsidR="00CE7509">
        <w:br/>
      </w:r>
    </w:p>
    <w:p w14:paraId="5FBBC2B3" w14:textId="67C50B7A" w:rsidR="00CE7509" w:rsidRPr="00CE7509" w:rsidRDefault="00CE7509" w:rsidP="009C3592">
      <w:pPr>
        <w:pStyle w:val="Heading2"/>
        <w:numPr>
          <w:ilvl w:val="0"/>
          <w:numId w:val="0"/>
        </w:numPr>
        <w:ind w:left="180"/>
      </w:pPr>
      <w:r w:rsidRPr="00CE7509">
        <w:lastRenderedPageBreak/>
        <w:t xml:space="preserve">Where required by the application, the system shall utilize switching technology suitable for transient-free capacitor energization and de-energization, restrike-free operation, and rapid response to changing system conditions. The overall design shall support compliance with the specified harmonic and power quality requirements of the project, including IEEE 519, applicable IEC requirements, and other project-specific semiconductor facility performance criteria. </w:t>
      </w:r>
      <w:r>
        <w:br/>
      </w:r>
      <w:r>
        <w:br/>
      </w:r>
      <w:r w:rsidRPr="00CE7509">
        <w:t>Because these facilities are highly sensitive to even minor electrical disturbances and production losses can be severe, reliability, maintainability, process suitability, and power quality performance shall be primary design criteria. The harmonic filter bank shall be engineered so that its operation remains effectively invisible to the sensitive tools and processes served by the facility.</w:t>
      </w:r>
    </w:p>
    <w:p w14:paraId="47E1A88E" w14:textId="77777777" w:rsidR="00EA3548" w:rsidRPr="00F2124C" w:rsidRDefault="00D63848" w:rsidP="00055CCE">
      <w:pPr>
        <w:pStyle w:val="Heading2"/>
      </w:pPr>
      <w:r w:rsidRPr="00D63848">
        <w:rPr>
          <w:b/>
        </w:rPr>
        <w:t>Ratings and Capacity</w:t>
      </w:r>
      <w:r w:rsidR="00E82E1A">
        <w:rPr>
          <w:b/>
        </w:rPr>
        <w:br/>
      </w:r>
      <w:r w:rsidR="00EA3548" w:rsidRPr="00EA3548">
        <w:t xml:space="preserve">The harmonic filter bank shall provide a total </w:t>
      </w:r>
      <w:r w:rsidR="00EA3548" w:rsidRPr="00F2124C">
        <w:t>output of ______ kvar at ______ kV, tuned to the ______ harmonic(s). The total capacity shall be divided into ______ switching steps of ______ kvar each.</w:t>
      </w:r>
    </w:p>
    <w:p w14:paraId="370C1D70" w14:textId="77777777" w:rsidR="00EA3548" w:rsidRPr="00EA3548" w:rsidRDefault="00EA3548" w:rsidP="00055CCE">
      <w:pPr>
        <w:pStyle w:val="11Head-Bullet"/>
        <w:ind w:right="810"/>
      </w:pPr>
      <w:r w:rsidRPr="00F2124C">
        <w:t>Note: Specified kvar refers to the net effective output at the specified system voltage; the</w:t>
      </w:r>
      <w:r w:rsidRPr="00EA3548">
        <w:t xml:space="preserve"> manufacturer shall account for the higher installed kvar resulting from the reactor-capacitor series combination.</w:t>
      </w:r>
    </w:p>
    <w:p w14:paraId="66D220F6" w14:textId="05C22205" w:rsidR="00EA3548" w:rsidRPr="00CB45F7" w:rsidRDefault="00CB45F7" w:rsidP="00055CCE">
      <w:pPr>
        <w:pStyle w:val="11Head-Bullet"/>
        <w:ind w:right="810"/>
      </w:pPr>
      <w:r w:rsidRPr="00CB45F7">
        <w:rPr>
          <w:b/>
          <w:bCs/>
        </w:rPr>
        <w:t>Automation:</w:t>
      </w:r>
      <w:r w:rsidRPr="00CB45F7">
        <w:t xml:space="preserve"> The bank shall be automatically switched based on [power factor / voltage / kVAR] or by remote command from the STATCOM control system when applied as part of a hybrid STATCOM + harmonic filter bank solution.</w:t>
      </w:r>
    </w:p>
    <w:p w14:paraId="7EE710C5" w14:textId="0BBCD7C6" w:rsidR="00EC0ED7" w:rsidRDefault="00C36397" w:rsidP="00055CCE">
      <w:pPr>
        <w:pStyle w:val="11Head-Bullet"/>
        <w:ind w:right="810"/>
      </w:pPr>
      <w:r>
        <w:t xml:space="preserve">The Filter Bank shall have the following ratings, tuning points, and </w:t>
      </w:r>
      <w:r w:rsidR="0070757B">
        <w:t>filter types:</w:t>
      </w:r>
    </w:p>
    <w:p w14:paraId="38A86DA2" w14:textId="77777777" w:rsidR="00C36397" w:rsidRDefault="00C36397" w:rsidP="00C36397">
      <w:pPr>
        <w:pStyle w:val="11Head-Bullet"/>
        <w:numPr>
          <w:ilvl w:val="0"/>
          <w:numId w:val="0"/>
        </w:numPr>
        <w:ind w:left="450" w:hanging="270"/>
      </w:pPr>
    </w:p>
    <w:tbl>
      <w:tblPr>
        <w:tblStyle w:val="TableGrid"/>
        <w:tblW w:w="0" w:type="auto"/>
        <w:tblInd w:w="-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1373"/>
        <w:gridCol w:w="1374"/>
        <w:gridCol w:w="1860"/>
        <w:gridCol w:w="998"/>
        <w:gridCol w:w="1375"/>
        <w:gridCol w:w="1375"/>
      </w:tblGrid>
      <w:tr w:rsidR="00D176D9" w14:paraId="3CB4D320" w14:textId="77777777" w:rsidTr="00607BF1">
        <w:tc>
          <w:tcPr>
            <w:tcW w:w="9728" w:type="dxa"/>
            <w:gridSpan w:val="7"/>
            <w:tcBorders>
              <w:bottom w:val="single" w:sz="4" w:space="0" w:color="auto"/>
            </w:tcBorders>
          </w:tcPr>
          <w:p w14:paraId="6F7F0368" w14:textId="77777777" w:rsidR="00D176D9" w:rsidRDefault="00D176D9" w:rsidP="00607BF1">
            <w:pPr>
              <w:pStyle w:val="11Head-Bullet"/>
              <w:numPr>
                <w:ilvl w:val="0"/>
                <w:numId w:val="0"/>
              </w:numPr>
              <w:jc w:val="center"/>
              <w:rPr>
                <w:b/>
                <w:bCs/>
              </w:rPr>
            </w:pPr>
            <w:r>
              <w:rPr>
                <w:b/>
                <w:bCs/>
              </w:rPr>
              <w:t xml:space="preserve">Table 1 </w:t>
            </w:r>
          </w:p>
          <w:p w14:paraId="76B2996D" w14:textId="77777777" w:rsidR="00D176D9" w:rsidRDefault="00D176D9" w:rsidP="00607BF1">
            <w:pPr>
              <w:pStyle w:val="11Head-Bullet"/>
              <w:numPr>
                <w:ilvl w:val="0"/>
                <w:numId w:val="0"/>
              </w:numPr>
              <w:jc w:val="center"/>
              <w:rPr>
                <w:b/>
                <w:bCs/>
              </w:rPr>
            </w:pPr>
            <w:r>
              <w:rPr>
                <w:b/>
                <w:bCs/>
              </w:rPr>
              <w:t xml:space="preserve">Harmonic Filter </w:t>
            </w:r>
            <w:r w:rsidRPr="00E42168">
              <w:rPr>
                <w:b/>
                <w:bCs/>
              </w:rPr>
              <w:t>Ratings</w:t>
            </w:r>
          </w:p>
        </w:tc>
      </w:tr>
      <w:tr w:rsidR="00D176D9" w14:paraId="612DC350" w14:textId="77777777" w:rsidTr="00607BF1">
        <w:tc>
          <w:tcPr>
            <w:tcW w:w="1373" w:type="dxa"/>
            <w:tcBorders>
              <w:top w:val="single" w:sz="4" w:space="0" w:color="auto"/>
            </w:tcBorders>
          </w:tcPr>
          <w:p w14:paraId="00143517" w14:textId="77777777" w:rsidR="00D176D9" w:rsidRDefault="00D176D9" w:rsidP="00607BF1">
            <w:pPr>
              <w:pStyle w:val="11Head-Bullet"/>
              <w:numPr>
                <w:ilvl w:val="0"/>
                <w:numId w:val="0"/>
              </w:numPr>
              <w:jc w:val="center"/>
            </w:pPr>
            <w:r>
              <w:t>Stage Number*</w:t>
            </w:r>
          </w:p>
        </w:tc>
        <w:tc>
          <w:tcPr>
            <w:tcW w:w="1373" w:type="dxa"/>
            <w:tcBorders>
              <w:top w:val="single" w:sz="4" w:space="0" w:color="auto"/>
            </w:tcBorders>
          </w:tcPr>
          <w:p w14:paraId="22456B41" w14:textId="77777777" w:rsidR="00D176D9" w:rsidRDefault="00D176D9" w:rsidP="00607BF1">
            <w:pPr>
              <w:pStyle w:val="11Head-Bullet"/>
              <w:numPr>
                <w:ilvl w:val="0"/>
                <w:numId w:val="0"/>
              </w:numPr>
              <w:jc w:val="center"/>
            </w:pPr>
            <w:r>
              <w:t>Stage</w:t>
            </w:r>
            <w:r>
              <w:br/>
              <w:t>kvar</w:t>
            </w:r>
          </w:p>
        </w:tc>
        <w:tc>
          <w:tcPr>
            <w:tcW w:w="1374" w:type="dxa"/>
            <w:tcBorders>
              <w:top w:val="single" w:sz="4" w:space="0" w:color="auto"/>
            </w:tcBorders>
          </w:tcPr>
          <w:p w14:paraId="5C30636C" w14:textId="77777777" w:rsidR="00D176D9" w:rsidRDefault="00D176D9" w:rsidP="00607BF1">
            <w:pPr>
              <w:pStyle w:val="11Head-Bullet"/>
              <w:numPr>
                <w:ilvl w:val="0"/>
                <w:numId w:val="0"/>
              </w:numPr>
              <w:jc w:val="center"/>
            </w:pPr>
            <w:r>
              <w:t>Tuning</w:t>
            </w:r>
            <w:r>
              <w:br/>
              <w:t>(Harmonic #)</w:t>
            </w:r>
          </w:p>
        </w:tc>
        <w:tc>
          <w:tcPr>
            <w:tcW w:w="1860" w:type="dxa"/>
            <w:tcBorders>
              <w:top w:val="single" w:sz="4" w:space="0" w:color="auto"/>
            </w:tcBorders>
          </w:tcPr>
          <w:p w14:paraId="4763004C" w14:textId="77777777" w:rsidR="00D176D9" w:rsidRDefault="00D176D9" w:rsidP="00607BF1">
            <w:pPr>
              <w:pStyle w:val="11Head-Bullet"/>
              <w:numPr>
                <w:ilvl w:val="0"/>
                <w:numId w:val="0"/>
              </w:numPr>
              <w:jc w:val="center"/>
            </w:pPr>
            <w:r>
              <w:t>Filter Type</w:t>
            </w:r>
            <w:r>
              <w:br/>
              <w:t>[Notch, HP, C-HP]</w:t>
            </w:r>
          </w:p>
        </w:tc>
        <w:tc>
          <w:tcPr>
            <w:tcW w:w="998" w:type="dxa"/>
            <w:tcBorders>
              <w:top w:val="single" w:sz="4" w:space="0" w:color="auto"/>
            </w:tcBorders>
          </w:tcPr>
          <w:p w14:paraId="3C0F4A30" w14:textId="77777777" w:rsidR="00D176D9" w:rsidRDefault="00D176D9" w:rsidP="00607BF1">
            <w:pPr>
              <w:pStyle w:val="11Head-Bullet"/>
              <w:numPr>
                <w:ilvl w:val="0"/>
                <w:numId w:val="0"/>
              </w:numPr>
              <w:jc w:val="center"/>
            </w:pPr>
            <w:r>
              <w:t>Damping</w:t>
            </w:r>
            <w:r>
              <w:br/>
              <w:t>Factor**</w:t>
            </w:r>
          </w:p>
        </w:tc>
        <w:tc>
          <w:tcPr>
            <w:tcW w:w="1375" w:type="dxa"/>
            <w:tcBorders>
              <w:top w:val="single" w:sz="4" w:space="0" w:color="auto"/>
            </w:tcBorders>
          </w:tcPr>
          <w:p w14:paraId="319DE077" w14:textId="77777777" w:rsidR="00D176D9" w:rsidRDefault="00D176D9" w:rsidP="00607BF1">
            <w:pPr>
              <w:pStyle w:val="11Head-Bullet"/>
              <w:numPr>
                <w:ilvl w:val="0"/>
                <w:numId w:val="0"/>
              </w:numPr>
              <w:jc w:val="center"/>
            </w:pPr>
            <w:r>
              <w:t>HP Resistor</w:t>
            </w:r>
            <w:r>
              <w:br/>
              <w:t>Power***</w:t>
            </w:r>
          </w:p>
        </w:tc>
        <w:tc>
          <w:tcPr>
            <w:tcW w:w="1375" w:type="dxa"/>
            <w:tcBorders>
              <w:top w:val="single" w:sz="4" w:space="0" w:color="auto"/>
            </w:tcBorders>
          </w:tcPr>
          <w:p w14:paraId="10B90495" w14:textId="77777777" w:rsidR="00D176D9" w:rsidRDefault="00D176D9" w:rsidP="00607BF1">
            <w:pPr>
              <w:pStyle w:val="11Head-Bullet"/>
              <w:numPr>
                <w:ilvl w:val="0"/>
                <w:numId w:val="0"/>
              </w:numPr>
              <w:jc w:val="center"/>
            </w:pPr>
            <w:r>
              <w:t xml:space="preserve">Resistor </w:t>
            </w:r>
          </w:p>
          <w:p w14:paraId="24F18952" w14:textId="77777777" w:rsidR="00D176D9" w:rsidRDefault="00D176D9" w:rsidP="00607BF1">
            <w:pPr>
              <w:pStyle w:val="11Head-Bullet"/>
              <w:numPr>
                <w:ilvl w:val="0"/>
                <w:numId w:val="0"/>
              </w:numPr>
              <w:jc w:val="center"/>
            </w:pPr>
            <w:r>
              <w:t>Ohms/phase</w:t>
            </w:r>
          </w:p>
        </w:tc>
      </w:tr>
      <w:tr w:rsidR="00D176D9" w14:paraId="45C03290" w14:textId="77777777" w:rsidTr="00607BF1">
        <w:tc>
          <w:tcPr>
            <w:tcW w:w="1373" w:type="dxa"/>
          </w:tcPr>
          <w:p w14:paraId="33AABA91" w14:textId="77777777" w:rsidR="00D176D9" w:rsidRDefault="00D176D9" w:rsidP="00607BF1">
            <w:pPr>
              <w:pStyle w:val="11Head-Bullet"/>
              <w:numPr>
                <w:ilvl w:val="0"/>
                <w:numId w:val="0"/>
              </w:numPr>
              <w:jc w:val="center"/>
            </w:pPr>
            <w:r>
              <w:t>1</w:t>
            </w:r>
          </w:p>
        </w:tc>
        <w:tc>
          <w:tcPr>
            <w:tcW w:w="1373" w:type="dxa"/>
          </w:tcPr>
          <w:p w14:paraId="37C412BC" w14:textId="51EB652C" w:rsidR="00D176D9" w:rsidRDefault="00A61F69" w:rsidP="00607BF1">
            <w:pPr>
              <w:pStyle w:val="11Head-Bullet"/>
              <w:numPr>
                <w:ilvl w:val="0"/>
                <w:numId w:val="0"/>
              </w:numPr>
              <w:jc w:val="center"/>
            </w:pPr>
            <w:r>
              <w:t>6</w:t>
            </w:r>
            <w:r w:rsidR="00D176D9">
              <w:t>000</w:t>
            </w:r>
          </w:p>
        </w:tc>
        <w:tc>
          <w:tcPr>
            <w:tcW w:w="1374" w:type="dxa"/>
          </w:tcPr>
          <w:p w14:paraId="780F89C4" w14:textId="77777777" w:rsidR="00D176D9" w:rsidRDefault="00D176D9" w:rsidP="00607BF1">
            <w:pPr>
              <w:pStyle w:val="11Head-Bullet"/>
              <w:numPr>
                <w:ilvl w:val="0"/>
                <w:numId w:val="0"/>
              </w:numPr>
              <w:jc w:val="center"/>
            </w:pPr>
            <w:r>
              <w:t>5.0</w:t>
            </w:r>
          </w:p>
        </w:tc>
        <w:tc>
          <w:tcPr>
            <w:tcW w:w="1860" w:type="dxa"/>
          </w:tcPr>
          <w:p w14:paraId="07250B62" w14:textId="3D7EA89B" w:rsidR="00D176D9" w:rsidRDefault="00A61F69" w:rsidP="00607BF1">
            <w:pPr>
              <w:pStyle w:val="11Head-Bullet"/>
              <w:numPr>
                <w:ilvl w:val="0"/>
                <w:numId w:val="0"/>
              </w:numPr>
              <w:jc w:val="center"/>
            </w:pPr>
            <w:r>
              <w:t>HP</w:t>
            </w:r>
          </w:p>
        </w:tc>
        <w:tc>
          <w:tcPr>
            <w:tcW w:w="998" w:type="dxa"/>
          </w:tcPr>
          <w:p w14:paraId="333266B9" w14:textId="24CBB941" w:rsidR="00D176D9" w:rsidRDefault="00A61F69" w:rsidP="00607BF1">
            <w:pPr>
              <w:pStyle w:val="11Head-Bullet"/>
              <w:numPr>
                <w:ilvl w:val="0"/>
                <w:numId w:val="0"/>
              </w:numPr>
              <w:jc w:val="center"/>
            </w:pPr>
            <w:r>
              <w:t>2.5</w:t>
            </w:r>
          </w:p>
        </w:tc>
        <w:tc>
          <w:tcPr>
            <w:tcW w:w="1375" w:type="dxa"/>
          </w:tcPr>
          <w:p w14:paraId="2F9BA2EC" w14:textId="1529D9A3" w:rsidR="00D176D9" w:rsidRDefault="00A61F69" w:rsidP="00607BF1">
            <w:pPr>
              <w:pStyle w:val="11Head-Bullet"/>
              <w:numPr>
                <w:ilvl w:val="0"/>
                <w:numId w:val="0"/>
              </w:numPr>
              <w:jc w:val="center"/>
            </w:pPr>
            <w:r>
              <w:t>30</w:t>
            </w:r>
          </w:p>
        </w:tc>
        <w:tc>
          <w:tcPr>
            <w:tcW w:w="1375" w:type="dxa"/>
          </w:tcPr>
          <w:p w14:paraId="00C5F7CD" w14:textId="228526C6" w:rsidR="00D176D9" w:rsidRDefault="00A61F69" w:rsidP="00607BF1">
            <w:pPr>
              <w:pStyle w:val="11Head-Bullet"/>
              <w:numPr>
                <w:ilvl w:val="0"/>
                <w:numId w:val="0"/>
              </w:numPr>
              <w:jc w:val="center"/>
            </w:pPr>
            <w:r>
              <w:t>30</w:t>
            </w:r>
          </w:p>
        </w:tc>
      </w:tr>
      <w:tr w:rsidR="00D176D9" w14:paraId="6A90D249" w14:textId="77777777" w:rsidTr="00607BF1">
        <w:tc>
          <w:tcPr>
            <w:tcW w:w="1373" w:type="dxa"/>
          </w:tcPr>
          <w:p w14:paraId="796095E7" w14:textId="77777777" w:rsidR="00D176D9" w:rsidRDefault="00D176D9" w:rsidP="00607BF1">
            <w:pPr>
              <w:pStyle w:val="11Head-Bullet"/>
              <w:numPr>
                <w:ilvl w:val="0"/>
                <w:numId w:val="0"/>
              </w:numPr>
              <w:jc w:val="center"/>
            </w:pPr>
            <w:r>
              <w:t>2</w:t>
            </w:r>
          </w:p>
        </w:tc>
        <w:tc>
          <w:tcPr>
            <w:tcW w:w="1373" w:type="dxa"/>
          </w:tcPr>
          <w:p w14:paraId="0963B130" w14:textId="4B967C9E" w:rsidR="00D176D9" w:rsidRDefault="00A61F69" w:rsidP="00607BF1">
            <w:pPr>
              <w:pStyle w:val="11Head-Bullet"/>
              <w:numPr>
                <w:ilvl w:val="0"/>
                <w:numId w:val="0"/>
              </w:numPr>
              <w:jc w:val="center"/>
            </w:pPr>
            <w:r>
              <w:t>6</w:t>
            </w:r>
            <w:r w:rsidR="00D176D9">
              <w:t>000</w:t>
            </w:r>
          </w:p>
        </w:tc>
        <w:tc>
          <w:tcPr>
            <w:tcW w:w="1374" w:type="dxa"/>
          </w:tcPr>
          <w:p w14:paraId="50913210" w14:textId="26763EE2" w:rsidR="00D176D9" w:rsidRDefault="00A61F69" w:rsidP="00607BF1">
            <w:pPr>
              <w:pStyle w:val="11Head-Bullet"/>
              <w:numPr>
                <w:ilvl w:val="0"/>
                <w:numId w:val="0"/>
              </w:numPr>
              <w:jc w:val="center"/>
            </w:pPr>
            <w:r>
              <w:t>7</w:t>
            </w:r>
            <w:r w:rsidR="00D176D9">
              <w:t>.0</w:t>
            </w:r>
          </w:p>
        </w:tc>
        <w:tc>
          <w:tcPr>
            <w:tcW w:w="1860" w:type="dxa"/>
          </w:tcPr>
          <w:p w14:paraId="6D3A6F6B" w14:textId="31C48F51" w:rsidR="00D176D9" w:rsidRDefault="00A61F69" w:rsidP="00607BF1">
            <w:pPr>
              <w:pStyle w:val="11Head-Bullet"/>
              <w:numPr>
                <w:ilvl w:val="0"/>
                <w:numId w:val="0"/>
              </w:numPr>
              <w:jc w:val="center"/>
            </w:pPr>
            <w:r>
              <w:t>HP</w:t>
            </w:r>
          </w:p>
        </w:tc>
        <w:tc>
          <w:tcPr>
            <w:tcW w:w="998" w:type="dxa"/>
          </w:tcPr>
          <w:p w14:paraId="75D15361" w14:textId="77777777" w:rsidR="00D176D9" w:rsidRDefault="00D176D9" w:rsidP="00607BF1">
            <w:pPr>
              <w:pStyle w:val="11Head-Bullet"/>
              <w:numPr>
                <w:ilvl w:val="0"/>
                <w:numId w:val="0"/>
              </w:numPr>
              <w:jc w:val="center"/>
            </w:pPr>
            <w:r>
              <w:t>2.5</w:t>
            </w:r>
          </w:p>
        </w:tc>
        <w:tc>
          <w:tcPr>
            <w:tcW w:w="1375" w:type="dxa"/>
          </w:tcPr>
          <w:p w14:paraId="7A78A5A6" w14:textId="7E495D2D" w:rsidR="00D176D9" w:rsidRDefault="00A61F69" w:rsidP="00607BF1">
            <w:pPr>
              <w:pStyle w:val="11Head-Bullet"/>
              <w:numPr>
                <w:ilvl w:val="0"/>
                <w:numId w:val="0"/>
              </w:numPr>
              <w:jc w:val="center"/>
            </w:pPr>
            <w:r>
              <w:t>25</w:t>
            </w:r>
          </w:p>
        </w:tc>
        <w:tc>
          <w:tcPr>
            <w:tcW w:w="1375" w:type="dxa"/>
          </w:tcPr>
          <w:p w14:paraId="0177C36D" w14:textId="141BC1B9" w:rsidR="00D176D9" w:rsidRDefault="00D176D9" w:rsidP="00607BF1">
            <w:pPr>
              <w:pStyle w:val="11Head-Bullet"/>
              <w:numPr>
                <w:ilvl w:val="0"/>
                <w:numId w:val="0"/>
              </w:numPr>
              <w:jc w:val="center"/>
            </w:pPr>
            <w:r>
              <w:t>2</w:t>
            </w:r>
            <w:r w:rsidR="00927D66">
              <w:t>5</w:t>
            </w:r>
          </w:p>
        </w:tc>
      </w:tr>
      <w:tr w:rsidR="00D176D9" w14:paraId="707A24F2" w14:textId="77777777" w:rsidTr="00607BF1">
        <w:tc>
          <w:tcPr>
            <w:tcW w:w="1373" w:type="dxa"/>
          </w:tcPr>
          <w:p w14:paraId="50E0225F" w14:textId="77777777" w:rsidR="00D176D9" w:rsidRDefault="00D176D9" w:rsidP="00607BF1">
            <w:pPr>
              <w:pStyle w:val="11Head-Bullet"/>
              <w:numPr>
                <w:ilvl w:val="0"/>
                <w:numId w:val="0"/>
              </w:numPr>
              <w:jc w:val="center"/>
            </w:pPr>
            <w:r>
              <w:t>3</w:t>
            </w:r>
          </w:p>
        </w:tc>
        <w:tc>
          <w:tcPr>
            <w:tcW w:w="1373" w:type="dxa"/>
          </w:tcPr>
          <w:p w14:paraId="41937260" w14:textId="57CDF737" w:rsidR="00D176D9" w:rsidRDefault="00A61F69" w:rsidP="00607BF1">
            <w:pPr>
              <w:pStyle w:val="11Head-Bullet"/>
              <w:numPr>
                <w:ilvl w:val="0"/>
                <w:numId w:val="0"/>
              </w:numPr>
              <w:jc w:val="center"/>
            </w:pPr>
            <w:r>
              <w:t>6</w:t>
            </w:r>
            <w:r w:rsidR="00D176D9">
              <w:t>000</w:t>
            </w:r>
          </w:p>
        </w:tc>
        <w:tc>
          <w:tcPr>
            <w:tcW w:w="1374" w:type="dxa"/>
          </w:tcPr>
          <w:p w14:paraId="50979AE0" w14:textId="76DE342F" w:rsidR="00D176D9" w:rsidRDefault="00A61F69" w:rsidP="00607BF1">
            <w:pPr>
              <w:pStyle w:val="11Head-Bullet"/>
              <w:numPr>
                <w:ilvl w:val="0"/>
                <w:numId w:val="0"/>
              </w:numPr>
              <w:jc w:val="center"/>
            </w:pPr>
            <w:r>
              <w:t>11.0</w:t>
            </w:r>
          </w:p>
        </w:tc>
        <w:tc>
          <w:tcPr>
            <w:tcW w:w="1860" w:type="dxa"/>
          </w:tcPr>
          <w:p w14:paraId="631D6095" w14:textId="73106716" w:rsidR="00D176D9" w:rsidRDefault="00A61F69" w:rsidP="00607BF1">
            <w:pPr>
              <w:pStyle w:val="11Head-Bullet"/>
              <w:numPr>
                <w:ilvl w:val="0"/>
                <w:numId w:val="0"/>
              </w:numPr>
              <w:jc w:val="center"/>
            </w:pPr>
            <w:r>
              <w:t>HP</w:t>
            </w:r>
          </w:p>
        </w:tc>
        <w:tc>
          <w:tcPr>
            <w:tcW w:w="998" w:type="dxa"/>
          </w:tcPr>
          <w:p w14:paraId="790F32D4" w14:textId="5504CF77" w:rsidR="00D176D9" w:rsidRDefault="00A61F69" w:rsidP="00607BF1">
            <w:pPr>
              <w:pStyle w:val="11Head-Bullet"/>
              <w:numPr>
                <w:ilvl w:val="0"/>
                <w:numId w:val="0"/>
              </w:numPr>
              <w:jc w:val="center"/>
            </w:pPr>
            <w:r>
              <w:t>2.5</w:t>
            </w:r>
          </w:p>
        </w:tc>
        <w:tc>
          <w:tcPr>
            <w:tcW w:w="1375" w:type="dxa"/>
          </w:tcPr>
          <w:p w14:paraId="571DF523" w14:textId="79BD4058" w:rsidR="00D176D9" w:rsidRDefault="00A61F69" w:rsidP="00607BF1">
            <w:pPr>
              <w:pStyle w:val="11Head-Bullet"/>
              <w:numPr>
                <w:ilvl w:val="0"/>
                <w:numId w:val="0"/>
              </w:numPr>
              <w:jc w:val="center"/>
            </w:pPr>
            <w:r>
              <w:t>20</w:t>
            </w:r>
          </w:p>
        </w:tc>
        <w:tc>
          <w:tcPr>
            <w:tcW w:w="1375" w:type="dxa"/>
          </w:tcPr>
          <w:p w14:paraId="33521EF3" w14:textId="21E1FC11" w:rsidR="00D176D9" w:rsidRDefault="00927D66" w:rsidP="00607BF1">
            <w:pPr>
              <w:pStyle w:val="11Head-Bullet"/>
              <w:numPr>
                <w:ilvl w:val="0"/>
                <w:numId w:val="0"/>
              </w:numPr>
              <w:jc w:val="center"/>
            </w:pPr>
            <w:r>
              <w:t>10</w:t>
            </w:r>
          </w:p>
        </w:tc>
      </w:tr>
      <w:tr w:rsidR="00D176D9" w14:paraId="6EE44144" w14:textId="77777777" w:rsidTr="00607BF1">
        <w:tc>
          <w:tcPr>
            <w:tcW w:w="1373" w:type="dxa"/>
            <w:tcBorders>
              <w:bottom w:val="single" w:sz="4" w:space="0" w:color="auto"/>
            </w:tcBorders>
          </w:tcPr>
          <w:p w14:paraId="18E83B7F" w14:textId="77777777" w:rsidR="00D176D9" w:rsidRDefault="00D176D9" w:rsidP="00607BF1">
            <w:pPr>
              <w:pStyle w:val="11Head-Bullet"/>
              <w:numPr>
                <w:ilvl w:val="0"/>
                <w:numId w:val="0"/>
              </w:numPr>
              <w:jc w:val="center"/>
            </w:pPr>
            <w:r>
              <w:t>4</w:t>
            </w:r>
          </w:p>
        </w:tc>
        <w:tc>
          <w:tcPr>
            <w:tcW w:w="1373" w:type="dxa"/>
            <w:tcBorders>
              <w:bottom w:val="single" w:sz="4" w:space="0" w:color="auto"/>
            </w:tcBorders>
          </w:tcPr>
          <w:p w14:paraId="203F3A0D" w14:textId="5BC1DA6D" w:rsidR="00D176D9" w:rsidRDefault="00A61F69" w:rsidP="00607BF1">
            <w:pPr>
              <w:pStyle w:val="11Head-Bullet"/>
              <w:numPr>
                <w:ilvl w:val="0"/>
                <w:numId w:val="0"/>
              </w:numPr>
              <w:jc w:val="center"/>
            </w:pPr>
            <w:r>
              <w:t>6</w:t>
            </w:r>
            <w:r w:rsidR="00D176D9">
              <w:t>000</w:t>
            </w:r>
          </w:p>
        </w:tc>
        <w:tc>
          <w:tcPr>
            <w:tcW w:w="1374" w:type="dxa"/>
            <w:tcBorders>
              <w:bottom w:val="single" w:sz="4" w:space="0" w:color="auto"/>
            </w:tcBorders>
          </w:tcPr>
          <w:p w14:paraId="34A2C011" w14:textId="19D4FAEB" w:rsidR="00D176D9" w:rsidRDefault="00A61F69" w:rsidP="00607BF1">
            <w:pPr>
              <w:pStyle w:val="11Head-Bullet"/>
              <w:numPr>
                <w:ilvl w:val="0"/>
                <w:numId w:val="0"/>
              </w:numPr>
              <w:jc w:val="center"/>
            </w:pPr>
            <w:r>
              <w:t>17.0</w:t>
            </w:r>
          </w:p>
        </w:tc>
        <w:tc>
          <w:tcPr>
            <w:tcW w:w="1860" w:type="dxa"/>
            <w:tcBorders>
              <w:bottom w:val="single" w:sz="4" w:space="0" w:color="auto"/>
            </w:tcBorders>
          </w:tcPr>
          <w:p w14:paraId="62AF209E" w14:textId="77777777" w:rsidR="00D176D9" w:rsidRDefault="00D176D9" w:rsidP="00607BF1">
            <w:pPr>
              <w:pStyle w:val="11Head-Bullet"/>
              <w:numPr>
                <w:ilvl w:val="0"/>
                <w:numId w:val="0"/>
              </w:numPr>
              <w:jc w:val="center"/>
            </w:pPr>
            <w:r>
              <w:t>HP</w:t>
            </w:r>
          </w:p>
        </w:tc>
        <w:tc>
          <w:tcPr>
            <w:tcW w:w="998" w:type="dxa"/>
            <w:tcBorders>
              <w:bottom w:val="single" w:sz="4" w:space="0" w:color="auto"/>
            </w:tcBorders>
          </w:tcPr>
          <w:p w14:paraId="7383426F" w14:textId="4AED08A4" w:rsidR="00D176D9" w:rsidRDefault="00A61F69" w:rsidP="00607BF1">
            <w:pPr>
              <w:pStyle w:val="11Head-Bullet"/>
              <w:numPr>
                <w:ilvl w:val="0"/>
                <w:numId w:val="0"/>
              </w:numPr>
              <w:jc w:val="center"/>
            </w:pPr>
            <w:r>
              <w:t>2.5</w:t>
            </w:r>
          </w:p>
        </w:tc>
        <w:tc>
          <w:tcPr>
            <w:tcW w:w="1375" w:type="dxa"/>
            <w:tcBorders>
              <w:bottom w:val="single" w:sz="4" w:space="0" w:color="auto"/>
            </w:tcBorders>
          </w:tcPr>
          <w:p w14:paraId="0D9891E4" w14:textId="0F8853FC" w:rsidR="00D176D9" w:rsidRDefault="00A61F69" w:rsidP="00607BF1">
            <w:pPr>
              <w:pStyle w:val="11Head-Bullet"/>
              <w:numPr>
                <w:ilvl w:val="0"/>
                <w:numId w:val="0"/>
              </w:numPr>
              <w:jc w:val="center"/>
            </w:pPr>
            <w:r>
              <w:t>15</w:t>
            </w:r>
          </w:p>
        </w:tc>
        <w:tc>
          <w:tcPr>
            <w:tcW w:w="1375" w:type="dxa"/>
            <w:tcBorders>
              <w:bottom w:val="single" w:sz="4" w:space="0" w:color="auto"/>
            </w:tcBorders>
          </w:tcPr>
          <w:p w14:paraId="31218B28" w14:textId="01A08F57" w:rsidR="00D176D9" w:rsidRDefault="00927D66" w:rsidP="00607BF1">
            <w:pPr>
              <w:pStyle w:val="11Head-Bullet"/>
              <w:numPr>
                <w:ilvl w:val="0"/>
                <w:numId w:val="0"/>
              </w:numPr>
              <w:jc w:val="center"/>
            </w:pPr>
            <w:r>
              <w:t>6</w:t>
            </w:r>
          </w:p>
        </w:tc>
      </w:tr>
      <w:tr w:rsidR="00D176D9" w14:paraId="0F449C83" w14:textId="77777777" w:rsidTr="00607BF1">
        <w:tc>
          <w:tcPr>
            <w:tcW w:w="8353" w:type="dxa"/>
            <w:gridSpan w:val="6"/>
            <w:tcBorders>
              <w:top w:val="single" w:sz="4" w:space="0" w:color="auto"/>
              <w:bottom w:val="single" w:sz="4" w:space="0" w:color="auto"/>
            </w:tcBorders>
          </w:tcPr>
          <w:p w14:paraId="45A8AF56" w14:textId="77777777" w:rsidR="00D176D9" w:rsidRDefault="00D176D9" w:rsidP="00607BF1">
            <w:pPr>
              <w:pStyle w:val="11Head-Bullet"/>
              <w:numPr>
                <w:ilvl w:val="0"/>
                <w:numId w:val="0"/>
              </w:numPr>
            </w:pPr>
            <w:r>
              <w:br/>
            </w:r>
            <w:r w:rsidRPr="00D27BF4">
              <w:rPr>
                <w:b/>
                <w:bCs/>
              </w:rPr>
              <w:t xml:space="preserve">Note: </w:t>
            </w:r>
            <w:r w:rsidRPr="00D27BF4">
              <w:rPr>
                <w:b/>
                <w:bCs/>
              </w:rPr>
              <w:br/>
            </w:r>
            <w:r>
              <w:t xml:space="preserve">* If there are more than 4 stages, add rows to the table. </w:t>
            </w:r>
            <w:r>
              <w:br/>
              <w:t>** = R/X at tuning point. X = inductive reactance of tuning reactor at the tune frequency</w:t>
            </w:r>
            <w:r>
              <w:br/>
              <w:t xml:space="preserve">*** = 3-phase kw (includes fundamental + harmonics) </w:t>
            </w:r>
            <w:r>
              <w:br/>
            </w:r>
          </w:p>
        </w:tc>
        <w:tc>
          <w:tcPr>
            <w:tcW w:w="1375" w:type="dxa"/>
            <w:tcBorders>
              <w:top w:val="single" w:sz="4" w:space="0" w:color="auto"/>
              <w:bottom w:val="single" w:sz="4" w:space="0" w:color="auto"/>
            </w:tcBorders>
          </w:tcPr>
          <w:p w14:paraId="735B43CA" w14:textId="77777777" w:rsidR="00D176D9" w:rsidRDefault="00D176D9" w:rsidP="00607BF1">
            <w:pPr>
              <w:pStyle w:val="11Head-Bullet"/>
              <w:numPr>
                <w:ilvl w:val="0"/>
                <w:numId w:val="0"/>
              </w:numPr>
            </w:pPr>
          </w:p>
        </w:tc>
      </w:tr>
    </w:tbl>
    <w:p w14:paraId="4E16F8DB" w14:textId="77777777" w:rsidR="00D95C07" w:rsidRPr="00055CCE" w:rsidRDefault="00D95C07" w:rsidP="00055CCE">
      <w:pPr>
        <w:pStyle w:val="Heading2"/>
        <w:rPr>
          <w:b/>
          <w:bCs/>
        </w:rPr>
      </w:pPr>
      <w:r w:rsidRPr="00055CCE">
        <w:rPr>
          <w:b/>
          <w:bCs/>
        </w:rPr>
        <w:t>Performance and Harmonic Analysis</w:t>
      </w:r>
    </w:p>
    <w:p w14:paraId="77D24D0B" w14:textId="7EA6F32E" w:rsidR="00D95C07" w:rsidRDefault="00D95C07" w:rsidP="00D95C07">
      <w:pPr>
        <w:pStyle w:val="11Head-Bullet"/>
      </w:pPr>
      <w:r w:rsidRPr="00D95C07">
        <w:rPr>
          <w:b/>
          <w:bCs/>
        </w:rPr>
        <w:t>IEEE 519 Compliance:</w:t>
      </w:r>
      <w:r>
        <w:t xml:space="preserve"> The bank shall be designed </w:t>
      </w:r>
      <w:r w:rsidR="00535F5E">
        <w:t xml:space="preserve">and verified </w:t>
      </w:r>
      <w:r w:rsidR="00CB3F50">
        <w:t>t</w:t>
      </w:r>
      <w:r w:rsidR="00040D1E">
        <w:t xml:space="preserve">o </w:t>
      </w:r>
      <w:r>
        <w:t>meet IEEE 519 current distortion limits at the Point of Common Coupling (PCC), defined as the Utility Metering Point</w:t>
      </w:r>
      <w:r w:rsidR="00F202A0">
        <w:t xml:space="preserve"> at peak plant load.</w:t>
      </w:r>
    </w:p>
    <w:p w14:paraId="327C4326" w14:textId="4CD8F96C" w:rsidR="00535F5E" w:rsidRDefault="00535F5E" w:rsidP="00D95C07">
      <w:pPr>
        <w:pStyle w:val="11Head-Bullet"/>
      </w:pPr>
      <w:r>
        <w:rPr>
          <w:b/>
          <w:bCs/>
        </w:rPr>
        <w:t>Resonance:</w:t>
      </w:r>
      <w:r>
        <w:t xml:space="preserve"> </w:t>
      </w:r>
      <w:r w:rsidR="00111206">
        <w:t>The bank shall not excite resonance in the network that results in more than 5% Vthd.</w:t>
      </w:r>
    </w:p>
    <w:p w14:paraId="66E26F2F" w14:textId="4E208B2D" w:rsidR="00D95C07" w:rsidRDefault="00D95C07" w:rsidP="007A67F3">
      <w:pPr>
        <w:pStyle w:val="11Head-Bullet"/>
      </w:pPr>
      <w:r w:rsidRPr="00D95C07">
        <w:rPr>
          <w:b/>
          <w:bCs/>
        </w:rPr>
        <w:t>Analysis Scope:</w:t>
      </w:r>
      <w:r>
        <w:t xml:space="preserve"> Modeling must account for varying system impedances, interaction with nearby filter or capacitor banks, and both normal and abnormal system configurations. </w:t>
      </w:r>
      <w:r w:rsidR="00F202A0">
        <w:t>At minimum th</w:t>
      </w:r>
      <w:r w:rsidR="00FB5952">
        <w:t xml:space="preserve">e scope of the study shall consist of source modeling, harmonic modeling of the load, filter modeling, </w:t>
      </w:r>
      <w:r w:rsidR="00012451">
        <w:t xml:space="preserve">and modeling of the medium-voltage network of the plant. </w:t>
      </w:r>
      <w:r>
        <w:t>A digital copy of the study shall be provided upon request.</w:t>
      </w:r>
    </w:p>
    <w:p w14:paraId="7EBF15F3" w14:textId="77777777" w:rsidR="00A26DC4" w:rsidRDefault="00A26DC4" w:rsidP="00A26DC4">
      <w:pPr>
        <w:pStyle w:val="11Head-Bullet"/>
        <w:numPr>
          <w:ilvl w:val="0"/>
          <w:numId w:val="0"/>
        </w:numPr>
        <w:ind w:left="450" w:hanging="270"/>
      </w:pPr>
    </w:p>
    <w:p w14:paraId="14349566" w14:textId="77777777" w:rsidR="00A26DC4" w:rsidRDefault="00A26DC4" w:rsidP="00A26DC4">
      <w:pPr>
        <w:pStyle w:val="11Head-Bullet"/>
        <w:numPr>
          <w:ilvl w:val="0"/>
          <w:numId w:val="0"/>
        </w:numPr>
        <w:ind w:left="450" w:hanging="270"/>
      </w:pPr>
    </w:p>
    <w:p w14:paraId="7A1CAC9D" w14:textId="77777777" w:rsidR="00A26DC4" w:rsidRDefault="00A26DC4" w:rsidP="00A26DC4">
      <w:pPr>
        <w:pStyle w:val="11Head-Bullet"/>
        <w:numPr>
          <w:ilvl w:val="0"/>
          <w:numId w:val="0"/>
        </w:numPr>
        <w:ind w:left="450" w:hanging="270"/>
      </w:pPr>
    </w:p>
    <w:p w14:paraId="412898DB" w14:textId="79C5C31D" w:rsidR="009F7D37" w:rsidRDefault="00A1283C" w:rsidP="00055CCE">
      <w:pPr>
        <w:pStyle w:val="Heading2"/>
      </w:pPr>
      <w:r>
        <w:rPr>
          <w:b/>
        </w:rPr>
        <w:lastRenderedPageBreak/>
        <w:t>System Parameters</w:t>
      </w:r>
      <w:r>
        <w:rPr>
          <w:b/>
        </w:rPr>
        <w:br/>
      </w:r>
      <w:r w:rsidR="009E38B2" w:rsidRPr="009E38B2">
        <w:t>The equipment shall be designed for operation on a power system with the following characteristics:</w:t>
      </w:r>
      <w:r w:rsidR="007D53A7">
        <w:br/>
      </w:r>
    </w:p>
    <w:tbl>
      <w:tblPr>
        <w:tblW w:w="7065" w:type="dxa"/>
        <w:tblCellSpacing w:w="15" w:type="dxa"/>
        <w:tblInd w:w="180" w:type="dxa"/>
        <w:tblCellMar>
          <w:top w:w="15" w:type="dxa"/>
          <w:left w:w="15" w:type="dxa"/>
          <w:bottom w:w="15" w:type="dxa"/>
          <w:right w:w="15" w:type="dxa"/>
        </w:tblCellMar>
        <w:tblLook w:val="06A0" w:firstRow="1" w:lastRow="0" w:firstColumn="1" w:lastColumn="0" w:noHBand="1" w:noVBand="1"/>
      </w:tblPr>
      <w:tblGrid>
        <w:gridCol w:w="4905"/>
        <w:gridCol w:w="2160"/>
      </w:tblGrid>
      <w:tr w:rsidR="00E6794A" w:rsidRPr="009F7D37" w14:paraId="231B7064" w14:textId="77777777" w:rsidTr="00F64188">
        <w:trPr>
          <w:trHeight w:val="20"/>
          <w:tblHeader/>
          <w:tblCellSpacing w:w="15" w:type="dxa"/>
        </w:trPr>
        <w:tc>
          <w:tcPr>
            <w:tcW w:w="4860" w:type="dxa"/>
            <w:vAlign w:val="center"/>
            <w:hideMark/>
          </w:tcPr>
          <w:p w14:paraId="4D7CF0CF" w14:textId="77777777" w:rsidR="009F7D37" w:rsidRPr="008C1A9B" w:rsidRDefault="009F7D37" w:rsidP="008C1A9B">
            <w:pPr>
              <w:rPr>
                <w:rFonts w:ascii="Aptos" w:hAnsi="Aptos"/>
                <w:sz w:val="20"/>
                <w:szCs w:val="20"/>
              </w:rPr>
            </w:pPr>
            <w:r w:rsidRPr="008C1A9B">
              <w:rPr>
                <w:rFonts w:ascii="Aptos" w:hAnsi="Aptos"/>
                <w:sz w:val="20"/>
                <w:szCs w:val="20"/>
              </w:rPr>
              <w:t>Parameter</w:t>
            </w:r>
          </w:p>
        </w:tc>
        <w:tc>
          <w:tcPr>
            <w:tcW w:w="2115" w:type="dxa"/>
            <w:vAlign w:val="center"/>
            <w:hideMark/>
          </w:tcPr>
          <w:p w14:paraId="4D2F1A94" w14:textId="77777777" w:rsidR="009F7D37" w:rsidRPr="008C1A9B" w:rsidRDefault="009F7D37" w:rsidP="008C1A9B">
            <w:pPr>
              <w:rPr>
                <w:rFonts w:ascii="Aptos" w:hAnsi="Aptos"/>
                <w:sz w:val="20"/>
                <w:szCs w:val="20"/>
              </w:rPr>
            </w:pPr>
            <w:r w:rsidRPr="008C1A9B">
              <w:rPr>
                <w:rFonts w:ascii="Aptos" w:hAnsi="Aptos"/>
                <w:sz w:val="20"/>
                <w:szCs w:val="20"/>
              </w:rPr>
              <w:t>Value</w:t>
            </w:r>
          </w:p>
        </w:tc>
      </w:tr>
      <w:tr w:rsidR="00E6794A" w:rsidRPr="009F7D37" w14:paraId="65CE2AD6" w14:textId="77777777" w:rsidTr="00F64188">
        <w:trPr>
          <w:trHeight w:val="20"/>
          <w:tblCellSpacing w:w="15" w:type="dxa"/>
        </w:trPr>
        <w:tc>
          <w:tcPr>
            <w:tcW w:w="4860" w:type="dxa"/>
            <w:vAlign w:val="center"/>
            <w:hideMark/>
          </w:tcPr>
          <w:p w14:paraId="6EB370E3" w14:textId="534DA24F" w:rsidR="009F7D37" w:rsidRPr="008C1A9B" w:rsidRDefault="009F7D37" w:rsidP="008C1A9B">
            <w:pPr>
              <w:rPr>
                <w:rFonts w:ascii="Aptos" w:hAnsi="Aptos"/>
                <w:sz w:val="20"/>
                <w:szCs w:val="20"/>
              </w:rPr>
            </w:pPr>
            <w:r w:rsidRPr="008C1A9B">
              <w:rPr>
                <w:rFonts w:ascii="Aptos" w:hAnsi="Aptos"/>
                <w:sz w:val="20"/>
                <w:szCs w:val="20"/>
              </w:rPr>
              <w:t>Nominal System Voltage (kV)</w:t>
            </w:r>
          </w:p>
        </w:tc>
        <w:tc>
          <w:tcPr>
            <w:tcW w:w="2115" w:type="dxa"/>
            <w:vAlign w:val="center"/>
            <w:hideMark/>
          </w:tcPr>
          <w:p w14:paraId="74FE9605"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6FBD8FAD" w14:textId="77777777" w:rsidTr="00F64188">
        <w:trPr>
          <w:trHeight w:val="20"/>
          <w:tblCellSpacing w:w="15" w:type="dxa"/>
        </w:trPr>
        <w:tc>
          <w:tcPr>
            <w:tcW w:w="4860" w:type="dxa"/>
            <w:vAlign w:val="center"/>
            <w:hideMark/>
          </w:tcPr>
          <w:p w14:paraId="314E38AC" w14:textId="336BA5F2" w:rsidR="009F7D37" w:rsidRPr="008C1A9B" w:rsidRDefault="009F7D37" w:rsidP="008C1A9B">
            <w:pPr>
              <w:rPr>
                <w:rFonts w:ascii="Aptos" w:hAnsi="Aptos"/>
                <w:sz w:val="20"/>
                <w:szCs w:val="20"/>
              </w:rPr>
            </w:pPr>
            <w:r w:rsidRPr="008C1A9B">
              <w:rPr>
                <w:rFonts w:ascii="Aptos" w:hAnsi="Aptos"/>
                <w:sz w:val="20"/>
                <w:szCs w:val="20"/>
              </w:rPr>
              <w:t>Maximum System Voltage (kV)</w:t>
            </w:r>
          </w:p>
        </w:tc>
        <w:tc>
          <w:tcPr>
            <w:tcW w:w="2115" w:type="dxa"/>
            <w:vAlign w:val="center"/>
            <w:hideMark/>
          </w:tcPr>
          <w:p w14:paraId="20E0EBAA"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179A421A" w14:textId="77777777" w:rsidTr="00F64188">
        <w:trPr>
          <w:trHeight w:val="20"/>
          <w:tblCellSpacing w:w="15" w:type="dxa"/>
        </w:trPr>
        <w:tc>
          <w:tcPr>
            <w:tcW w:w="4860" w:type="dxa"/>
            <w:vAlign w:val="center"/>
            <w:hideMark/>
          </w:tcPr>
          <w:p w14:paraId="563DE585" w14:textId="47D9A49B" w:rsidR="009F7D37" w:rsidRPr="008C1A9B" w:rsidRDefault="009F7D37" w:rsidP="008C1A9B">
            <w:pPr>
              <w:rPr>
                <w:rFonts w:ascii="Aptos" w:hAnsi="Aptos"/>
                <w:sz w:val="20"/>
                <w:szCs w:val="20"/>
              </w:rPr>
            </w:pPr>
            <w:r w:rsidRPr="008C1A9B">
              <w:rPr>
                <w:rFonts w:ascii="Aptos" w:hAnsi="Aptos"/>
                <w:sz w:val="20"/>
                <w:szCs w:val="20"/>
              </w:rPr>
              <w:t xml:space="preserve">Basic Insulation Level </w:t>
            </w:r>
            <w:r w:rsidR="007B3C88" w:rsidRPr="008C1A9B">
              <w:rPr>
                <w:rFonts w:ascii="Aptos" w:hAnsi="Aptos"/>
                <w:sz w:val="20"/>
                <w:szCs w:val="20"/>
              </w:rPr>
              <w:t>(</w:t>
            </w:r>
            <w:r w:rsidRPr="008C1A9B">
              <w:rPr>
                <w:rFonts w:ascii="Aptos" w:hAnsi="Aptos"/>
                <w:sz w:val="20"/>
                <w:szCs w:val="20"/>
              </w:rPr>
              <w:t>kV)</w:t>
            </w:r>
          </w:p>
        </w:tc>
        <w:tc>
          <w:tcPr>
            <w:tcW w:w="2115" w:type="dxa"/>
            <w:vAlign w:val="center"/>
            <w:hideMark/>
          </w:tcPr>
          <w:p w14:paraId="1F9AFAF5"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602D0135" w14:textId="77777777" w:rsidTr="00F64188">
        <w:trPr>
          <w:trHeight w:val="20"/>
          <w:tblCellSpacing w:w="15" w:type="dxa"/>
        </w:trPr>
        <w:tc>
          <w:tcPr>
            <w:tcW w:w="4860" w:type="dxa"/>
            <w:vAlign w:val="center"/>
            <w:hideMark/>
          </w:tcPr>
          <w:p w14:paraId="13E6A2A9" w14:textId="77777777" w:rsidR="009F7D37" w:rsidRPr="008C1A9B" w:rsidRDefault="009F7D37" w:rsidP="008C1A9B">
            <w:pPr>
              <w:rPr>
                <w:rFonts w:ascii="Aptos" w:hAnsi="Aptos"/>
                <w:sz w:val="20"/>
                <w:szCs w:val="20"/>
              </w:rPr>
            </w:pPr>
            <w:r w:rsidRPr="008C1A9B">
              <w:rPr>
                <w:rFonts w:ascii="Aptos" w:hAnsi="Aptos"/>
                <w:sz w:val="20"/>
                <w:szCs w:val="20"/>
              </w:rPr>
              <w:t>Three-Phase Short Circuit (RMS Sym. Amps)</w:t>
            </w:r>
          </w:p>
        </w:tc>
        <w:tc>
          <w:tcPr>
            <w:tcW w:w="2115" w:type="dxa"/>
            <w:vAlign w:val="center"/>
            <w:hideMark/>
          </w:tcPr>
          <w:p w14:paraId="11FADE40"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4A022BD7" w14:textId="77777777" w:rsidTr="00F64188">
        <w:trPr>
          <w:trHeight w:val="20"/>
          <w:tblCellSpacing w:w="15" w:type="dxa"/>
        </w:trPr>
        <w:tc>
          <w:tcPr>
            <w:tcW w:w="4860" w:type="dxa"/>
            <w:vAlign w:val="center"/>
            <w:hideMark/>
          </w:tcPr>
          <w:p w14:paraId="399444CB" w14:textId="77777777" w:rsidR="009F7D37" w:rsidRPr="008C1A9B" w:rsidRDefault="009F7D37" w:rsidP="008C1A9B">
            <w:pPr>
              <w:rPr>
                <w:rFonts w:ascii="Aptos" w:hAnsi="Aptos"/>
                <w:sz w:val="20"/>
                <w:szCs w:val="20"/>
              </w:rPr>
            </w:pPr>
            <w:r w:rsidRPr="008C1A9B">
              <w:rPr>
                <w:rFonts w:ascii="Aptos" w:hAnsi="Aptos"/>
                <w:sz w:val="20"/>
                <w:szCs w:val="20"/>
              </w:rPr>
              <w:t>Line-to-Ground Short Circuit (RMS Sym. Amps)</w:t>
            </w:r>
          </w:p>
        </w:tc>
        <w:tc>
          <w:tcPr>
            <w:tcW w:w="2115" w:type="dxa"/>
            <w:vAlign w:val="center"/>
            <w:hideMark/>
          </w:tcPr>
          <w:p w14:paraId="081FE0DD"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bl>
    <w:p w14:paraId="35205F3F" w14:textId="2C7510CB" w:rsidR="00C01E6B" w:rsidRDefault="005804FE" w:rsidP="00055CCE">
      <w:pPr>
        <w:pStyle w:val="Heading2"/>
      </w:pPr>
      <w:r w:rsidRPr="005804FE">
        <w:rPr>
          <w:b/>
        </w:rPr>
        <w:t>Environmental Design Criteria</w:t>
      </w:r>
      <w:r>
        <w:rPr>
          <w:b/>
        </w:rPr>
        <w:br/>
      </w:r>
      <w:r w:rsidRPr="005804FE">
        <w:t>The equipment shall be designed for continuous outdoor operation under the following ambient conditions:</w:t>
      </w:r>
      <w:r w:rsidR="002E0ED2">
        <w:br/>
      </w:r>
    </w:p>
    <w:tbl>
      <w:tblPr>
        <w:tblW w:w="7295" w:type="dxa"/>
        <w:tblCellSpacing w:w="15" w:type="dxa"/>
        <w:tblInd w:w="180" w:type="dxa"/>
        <w:tblCellMar>
          <w:top w:w="15" w:type="dxa"/>
          <w:left w:w="15" w:type="dxa"/>
          <w:bottom w:w="15" w:type="dxa"/>
          <w:right w:w="15" w:type="dxa"/>
        </w:tblCellMar>
        <w:tblLook w:val="06A0" w:firstRow="1" w:lastRow="0" w:firstColumn="1" w:lastColumn="0" w:noHBand="1" w:noVBand="1"/>
      </w:tblPr>
      <w:tblGrid>
        <w:gridCol w:w="3870"/>
        <w:gridCol w:w="1710"/>
        <w:gridCol w:w="1715"/>
      </w:tblGrid>
      <w:tr w:rsidR="00CB2001" w:rsidRPr="008C1A9B" w14:paraId="42387407" w14:textId="47D11207" w:rsidTr="006562FE">
        <w:trPr>
          <w:trHeight w:val="20"/>
          <w:tblHeader/>
          <w:tblCellSpacing w:w="15" w:type="dxa"/>
        </w:trPr>
        <w:tc>
          <w:tcPr>
            <w:tcW w:w="3825" w:type="dxa"/>
            <w:vAlign w:val="center"/>
            <w:hideMark/>
          </w:tcPr>
          <w:p w14:paraId="70FF6B4F" w14:textId="5D75312C" w:rsidR="00CB2001" w:rsidRPr="006562FE" w:rsidRDefault="00CB2001" w:rsidP="006562FE">
            <w:pPr>
              <w:rPr>
                <w:rFonts w:ascii="Aptos" w:hAnsi="Aptos"/>
                <w:sz w:val="20"/>
                <w:szCs w:val="20"/>
              </w:rPr>
            </w:pPr>
            <w:r w:rsidRPr="006562FE">
              <w:rPr>
                <w:rFonts w:ascii="Aptos" w:hAnsi="Aptos"/>
                <w:sz w:val="20"/>
                <w:szCs w:val="20"/>
              </w:rPr>
              <w:t>Ambient Condition</w:t>
            </w:r>
          </w:p>
        </w:tc>
        <w:tc>
          <w:tcPr>
            <w:tcW w:w="1680" w:type="dxa"/>
            <w:vAlign w:val="center"/>
            <w:hideMark/>
          </w:tcPr>
          <w:p w14:paraId="11C4B3F5" w14:textId="4F8835DD" w:rsidR="00CB2001" w:rsidRPr="008C1A9B" w:rsidRDefault="00411C92" w:rsidP="008C1A9B">
            <w:pPr>
              <w:rPr>
                <w:rFonts w:ascii="Aptos" w:hAnsi="Aptos"/>
                <w:sz w:val="20"/>
                <w:szCs w:val="20"/>
              </w:rPr>
            </w:pPr>
            <w:r w:rsidRPr="008C1A9B">
              <w:rPr>
                <w:rFonts w:ascii="Aptos" w:hAnsi="Aptos"/>
                <w:sz w:val="20"/>
                <w:szCs w:val="20"/>
              </w:rPr>
              <w:t>Minimum</w:t>
            </w:r>
          </w:p>
        </w:tc>
        <w:tc>
          <w:tcPr>
            <w:tcW w:w="1670" w:type="dxa"/>
          </w:tcPr>
          <w:p w14:paraId="3AAD7CF8" w14:textId="482B987B" w:rsidR="00CB2001" w:rsidRPr="008C1A9B" w:rsidRDefault="00D26F05" w:rsidP="008C1A9B">
            <w:pPr>
              <w:rPr>
                <w:rFonts w:ascii="Aptos" w:hAnsi="Aptos"/>
                <w:sz w:val="20"/>
                <w:szCs w:val="20"/>
              </w:rPr>
            </w:pPr>
            <w:r w:rsidRPr="008C1A9B">
              <w:rPr>
                <w:rFonts w:ascii="Aptos" w:hAnsi="Aptos"/>
                <w:sz w:val="20"/>
                <w:szCs w:val="20"/>
              </w:rPr>
              <w:t xml:space="preserve">Maximum </w:t>
            </w:r>
          </w:p>
        </w:tc>
      </w:tr>
      <w:tr w:rsidR="00CB2001" w:rsidRPr="008C1A9B" w14:paraId="767331E5" w14:textId="5E379F94" w:rsidTr="006562FE">
        <w:trPr>
          <w:trHeight w:val="20"/>
          <w:tblCellSpacing w:w="15" w:type="dxa"/>
        </w:trPr>
        <w:tc>
          <w:tcPr>
            <w:tcW w:w="3825" w:type="dxa"/>
            <w:vAlign w:val="center"/>
          </w:tcPr>
          <w:p w14:paraId="0AC808F6" w14:textId="59BD7C14" w:rsidR="00CB2001" w:rsidRPr="006562FE" w:rsidRDefault="00411C92" w:rsidP="006562FE">
            <w:pPr>
              <w:rPr>
                <w:rFonts w:ascii="Aptos" w:hAnsi="Aptos"/>
                <w:sz w:val="20"/>
                <w:szCs w:val="20"/>
              </w:rPr>
            </w:pPr>
            <w:r w:rsidRPr="006562FE">
              <w:rPr>
                <w:rFonts w:ascii="Aptos" w:hAnsi="Aptos"/>
                <w:sz w:val="20"/>
                <w:szCs w:val="20"/>
              </w:rPr>
              <w:t>Average Annual Temperature</w:t>
            </w:r>
            <w:r w:rsidR="00E83D72" w:rsidRPr="006562FE">
              <w:rPr>
                <w:rFonts w:ascii="Aptos" w:hAnsi="Aptos"/>
                <w:sz w:val="20"/>
                <w:szCs w:val="20"/>
              </w:rPr>
              <w:t xml:space="preserve"> (°C)</w:t>
            </w:r>
          </w:p>
        </w:tc>
        <w:tc>
          <w:tcPr>
            <w:tcW w:w="1680" w:type="dxa"/>
            <w:vAlign w:val="center"/>
            <w:hideMark/>
          </w:tcPr>
          <w:p w14:paraId="370C85BB" w14:textId="77777777" w:rsidR="00CB2001" w:rsidRPr="008C1A9B" w:rsidRDefault="00CB2001" w:rsidP="008C1A9B">
            <w:pPr>
              <w:rPr>
                <w:rFonts w:ascii="Aptos" w:hAnsi="Aptos"/>
                <w:sz w:val="20"/>
                <w:szCs w:val="20"/>
              </w:rPr>
            </w:pPr>
            <w:r w:rsidRPr="008C1A9B">
              <w:rPr>
                <w:rFonts w:ascii="Aptos" w:hAnsi="Aptos"/>
                <w:sz w:val="20"/>
                <w:szCs w:val="20"/>
              </w:rPr>
              <w:t>____________</w:t>
            </w:r>
          </w:p>
        </w:tc>
        <w:tc>
          <w:tcPr>
            <w:tcW w:w="1670" w:type="dxa"/>
          </w:tcPr>
          <w:p w14:paraId="16F1D2B3" w14:textId="039AD647" w:rsidR="00CB2001" w:rsidRPr="008C1A9B" w:rsidRDefault="00BF742F" w:rsidP="008C1A9B">
            <w:pPr>
              <w:rPr>
                <w:rFonts w:ascii="Aptos" w:hAnsi="Aptos"/>
                <w:sz w:val="20"/>
                <w:szCs w:val="20"/>
              </w:rPr>
            </w:pPr>
            <w:r w:rsidRPr="008C1A9B">
              <w:rPr>
                <w:rFonts w:ascii="Aptos" w:hAnsi="Aptos"/>
                <w:sz w:val="20"/>
                <w:szCs w:val="20"/>
              </w:rPr>
              <w:t>____________</w:t>
            </w:r>
          </w:p>
        </w:tc>
      </w:tr>
      <w:tr w:rsidR="00CB2001" w:rsidRPr="008C1A9B" w14:paraId="51357261" w14:textId="55221E86" w:rsidTr="006562FE">
        <w:trPr>
          <w:trHeight w:val="20"/>
          <w:tblCellSpacing w:w="15" w:type="dxa"/>
        </w:trPr>
        <w:tc>
          <w:tcPr>
            <w:tcW w:w="3825" w:type="dxa"/>
            <w:vAlign w:val="center"/>
            <w:hideMark/>
          </w:tcPr>
          <w:p w14:paraId="3C4E0BAA" w14:textId="288ECC28" w:rsidR="00CB2001" w:rsidRPr="006562FE" w:rsidRDefault="00411C92" w:rsidP="006562FE">
            <w:pPr>
              <w:rPr>
                <w:rFonts w:ascii="Aptos" w:hAnsi="Aptos"/>
                <w:sz w:val="20"/>
                <w:szCs w:val="20"/>
              </w:rPr>
            </w:pPr>
            <w:r w:rsidRPr="006562FE">
              <w:rPr>
                <w:rFonts w:ascii="Aptos" w:hAnsi="Aptos"/>
                <w:sz w:val="20"/>
                <w:szCs w:val="20"/>
              </w:rPr>
              <w:t>Design Temperature (Extreme)</w:t>
            </w:r>
            <w:r w:rsidR="00E83D72" w:rsidRPr="006562FE">
              <w:rPr>
                <w:rFonts w:ascii="Aptos" w:hAnsi="Aptos"/>
                <w:sz w:val="20"/>
                <w:szCs w:val="20"/>
              </w:rPr>
              <w:t xml:space="preserve"> (°C)</w:t>
            </w:r>
          </w:p>
        </w:tc>
        <w:tc>
          <w:tcPr>
            <w:tcW w:w="1680" w:type="dxa"/>
            <w:vAlign w:val="center"/>
            <w:hideMark/>
          </w:tcPr>
          <w:p w14:paraId="19223AC6" w14:textId="77777777" w:rsidR="00CB2001" w:rsidRPr="008C1A9B" w:rsidRDefault="00CB2001" w:rsidP="008C1A9B">
            <w:pPr>
              <w:rPr>
                <w:rFonts w:ascii="Aptos" w:hAnsi="Aptos"/>
                <w:sz w:val="20"/>
                <w:szCs w:val="20"/>
              </w:rPr>
            </w:pPr>
            <w:r w:rsidRPr="008C1A9B">
              <w:rPr>
                <w:rFonts w:ascii="Aptos" w:hAnsi="Aptos"/>
                <w:sz w:val="20"/>
                <w:szCs w:val="20"/>
              </w:rPr>
              <w:t>____________</w:t>
            </w:r>
          </w:p>
        </w:tc>
        <w:tc>
          <w:tcPr>
            <w:tcW w:w="1670" w:type="dxa"/>
          </w:tcPr>
          <w:p w14:paraId="18F9F018" w14:textId="661B2022" w:rsidR="00CB2001" w:rsidRPr="008C1A9B" w:rsidRDefault="00BF742F" w:rsidP="008C1A9B">
            <w:pPr>
              <w:rPr>
                <w:rFonts w:ascii="Aptos" w:hAnsi="Aptos"/>
                <w:sz w:val="20"/>
                <w:szCs w:val="20"/>
              </w:rPr>
            </w:pPr>
            <w:r w:rsidRPr="008C1A9B">
              <w:rPr>
                <w:rFonts w:ascii="Aptos" w:hAnsi="Aptos"/>
                <w:sz w:val="20"/>
                <w:szCs w:val="20"/>
              </w:rPr>
              <w:t>____________</w:t>
            </w:r>
          </w:p>
        </w:tc>
      </w:tr>
      <w:tr w:rsidR="00CB2001" w:rsidRPr="008C1A9B" w14:paraId="3069C545" w14:textId="246894D1" w:rsidTr="006562FE">
        <w:trPr>
          <w:trHeight w:val="20"/>
          <w:tblCellSpacing w:w="15" w:type="dxa"/>
        </w:trPr>
        <w:tc>
          <w:tcPr>
            <w:tcW w:w="3825" w:type="dxa"/>
            <w:vAlign w:val="center"/>
            <w:hideMark/>
          </w:tcPr>
          <w:p w14:paraId="0A71D2C7" w14:textId="304E70C7" w:rsidR="00CB2001" w:rsidRPr="006562FE" w:rsidRDefault="00411C92" w:rsidP="006562FE">
            <w:pPr>
              <w:rPr>
                <w:rFonts w:ascii="Aptos" w:hAnsi="Aptos"/>
                <w:sz w:val="20"/>
                <w:szCs w:val="20"/>
              </w:rPr>
            </w:pPr>
            <w:r w:rsidRPr="006562FE">
              <w:rPr>
                <w:rFonts w:ascii="Aptos" w:hAnsi="Aptos"/>
                <w:sz w:val="20"/>
                <w:szCs w:val="20"/>
              </w:rPr>
              <w:t>Average Daily Variation</w:t>
            </w:r>
            <w:r w:rsidR="00E83D72" w:rsidRPr="006562FE">
              <w:rPr>
                <w:rFonts w:ascii="Aptos" w:hAnsi="Aptos"/>
                <w:sz w:val="20"/>
                <w:szCs w:val="20"/>
              </w:rPr>
              <w:t xml:space="preserve"> (°C)</w:t>
            </w:r>
          </w:p>
        </w:tc>
        <w:tc>
          <w:tcPr>
            <w:tcW w:w="1680" w:type="dxa"/>
            <w:vAlign w:val="center"/>
            <w:hideMark/>
          </w:tcPr>
          <w:p w14:paraId="4BAFC01C" w14:textId="77777777" w:rsidR="00CB2001" w:rsidRPr="008C1A9B" w:rsidRDefault="00CB2001" w:rsidP="008C1A9B">
            <w:pPr>
              <w:rPr>
                <w:rFonts w:ascii="Aptos" w:hAnsi="Aptos"/>
                <w:sz w:val="20"/>
                <w:szCs w:val="20"/>
              </w:rPr>
            </w:pPr>
            <w:r w:rsidRPr="008C1A9B">
              <w:rPr>
                <w:rFonts w:ascii="Aptos" w:hAnsi="Aptos"/>
                <w:sz w:val="20"/>
                <w:szCs w:val="20"/>
              </w:rPr>
              <w:t>____________</w:t>
            </w:r>
          </w:p>
        </w:tc>
        <w:tc>
          <w:tcPr>
            <w:tcW w:w="1670" w:type="dxa"/>
          </w:tcPr>
          <w:p w14:paraId="5B21EA12" w14:textId="39AC96FD" w:rsidR="00CB2001" w:rsidRPr="008C1A9B" w:rsidRDefault="00BF742F" w:rsidP="008C1A9B">
            <w:pPr>
              <w:rPr>
                <w:rFonts w:ascii="Aptos" w:hAnsi="Aptos"/>
                <w:sz w:val="20"/>
                <w:szCs w:val="20"/>
              </w:rPr>
            </w:pPr>
            <w:r w:rsidRPr="008C1A9B">
              <w:rPr>
                <w:rFonts w:ascii="Aptos" w:hAnsi="Aptos"/>
                <w:sz w:val="20"/>
                <w:szCs w:val="20"/>
              </w:rPr>
              <w:t>____________</w:t>
            </w:r>
          </w:p>
        </w:tc>
      </w:tr>
      <w:tr w:rsidR="00193D99" w:rsidRPr="008C1A9B" w14:paraId="002BCC17" w14:textId="77777777" w:rsidTr="006562FE">
        <w:trPr>
          <w:trHeight w:val="20"/>
          <w:tblCellSpacing w:w="15" w:type="dxa"/>
        </w:trPr>
        <w:tc>
          <w:tcPr>
            <w:tcW w:w="3825" w:type="dxa"/>
            <w:vAlign w:val="center"/>
          </w:tcPr>
          <w:p w14:paraId="04B8BF9A" w14:textId="450E327D" w:rsidR="00193D99" w:rsidRPr="006562FE" w:rsidRDefault="005F619C" w:rsidP="006562FE">
            <w:pPr>
              <w:rPr>
                <w:rFonts w:ascii="Aptos" w:hAnsi="Aptos"/>
                <w:sz w:val="20"/>
                <w:szCs w:val="20"/>
              </w:rPr>
            </w:pPr>
            <w:r w:rsidRPr="006562FE">
              <w:rPr>
                <w:rFonts w:ascii="Aptos" w:hAnsi="Aptos"/>
                <w:sz w:val="20"/>
                <w:szCs w:val="20"/>
              </w:rPr>
              <w:t>Maximum Design Snow Loads (kg/m</w:t>
            </w:r>
            <w:r w:rsidRPr="006562FE">
              <w:rPr>
                <w:rFonts w:ascii="Aptos" w:hAnsi="Aptos"/>
                <w:sz w:val="20"/>
                <w:szCs w:val="20"/>
                <w:vertAlign w:val="superscript"/>
              </w:rPr>
              <w:t>2</w:t>
            </w:r>
            <w:r w:rsidRPr="006562FE">
              <w:rPr>
                <w:rFonts w:ascii="Aptos" w:hAnsi="Aptos"/>
                <w:sz w:val="20"/>
                <w:szCs w:val="20"/>
              </w:rPr>
              <w:t>)</w:t>
            </w:r>
          </w:p>
        </w:tc>
        <w:tc>
          <w:tcPr>
            <w:tcW w:w="1680" w:type="dxa"/>
            <w:vAlign w:val="center"/>
          </w:tcPr>
          <w:p w14:paraId="3E9B1B10" w14:textId="30D14DA7" w:rsidR="00193D99" w:rsidRPr="008C1A9B" w:rsidRDefault="005F619C" w:rsidP="008C1A9B">
            <w:pPr>
              <w:rPr>
                <w:rFonts w:ascii="Aptos" w:hAnsi="Aptos"/>
                <w:sz w:val="20"/>
                <w:szCs w:val="20"/>
              </w:rPr>
            </w:pPr>
            <w:r>
              <w:rPr>
                <w:rFonts w:ascii="Aptos" w:hAnsi="Aptos"/>
                <w:sz w:val="20"/>
                <w:szCs w:val="20"/>
              </w:rPr>
              <w:t>____________</w:t>
            </w:r>
          </w:p>
        </w:tc>
        <w:tc>
          <w:tcPr>
            <w:tcW w:w="1670" w:type="dxa"/>
          </w:tcPr>
          <w:p w14:paraId="5F69FD6B" w14:textId="2A004AAF" w:rsidR="00193D99" w:rsidRPr="008C1A9B" w:rsidRDefault="005F619C" w:rsidP="008C1A9B">
            <w:pPr>
              <w:rPr>
                <w:rFonts w:ascii="Aptos" w:hAnsi="Aptos"/>
                <w:sz w:val="20"/>
                <w:szCs w:val="20"/>
              </w:rPr>
            </w:pPr>
            <w:r>
              <w:rPr>
                <w:rFonts w:ascii="Aptos" w:hAnsi="Aptos"/>
                <w:sz w:val="20"/>
                <w:szCs w:val="20"/>
              </w:rPr>
              <w:t>____________</w:t>
            </w:r>
          </w:p>
        </w:tc>
      </w:tr>
    </w:tbl>
    <w:p w14:paraId="15DA1E50" w14:textId="0CBFAF36" w:rsidR="002B1EED" w:rsidRPr="002B1EED" w:rsidRDefault="002B1EED" w:rsidP="00055CCE">
      <w:pPr>
        <w:pStyle w:val="Heading2"/>
      </w:pPr>
      <w:r w:rsidRPr="00403668">
        <w:rPr>
          <w:b/>
        </w:rPr>
        <w:t>Seismic Requirements</w:t>
      </w:r>
      <w:r w:rsidR="001044CF">
        <w:br/>
      </w:r>
      <w:r w:rsidRPr="002B1EED">
        <w:t>Equipment, internal supports, and anchorage shall be designed for seismic forces in accordance with the International Building Code (IBC) and ASCE 7, Chapter 13 (Nonstructural Electrical Components). Design shall be based on the following project-specific criteria:</w:t>
      </w:r>
      <w:r w:rsidR="00F64188">
        <w:br/>
      </w:r>
    </w:p>
    <w:p w14:paraId="6BC9A167" w14:textId="77777777"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Risk Category: [_____]</w:t>
      </w:r>
    </w:p>
    <w:p w14:paraId="3141CB0E" w14:textId="77777777"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Seismic Design Category: [_____]</w:t>
      </w:r>
    </w:p>
    <w:p w14:paraId="44179B72" w14:textId="03FA0916"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DS</w:t>
      </w:r>
      <w:r w:rsidR="00B759DD">
        <w:rPr>
          <w:rFonts w:ascii="Aptos" w:hAnsi="Aptos"/>
          <w:color w:val="121212"/>
          <w:sz w:val="20"/>
          <w:szCs w:val="20"/>
        </w:rPr>
        <w:t>)</w:t>
      </w:r>
      <w:r w:rsidRPr="002B1EED">
        <w:rPr>
          <w:rFonts w:ascii="Aptos" w:hAnsi="Aptos"/>
          <w:color w:val="121212"/>
          <w:sz w:val="20"/>
          <w:szCs w:val="20"/>
        </w:rPr>
        <w:t>: [_____]</w:t>
      </w:r>
    </w:p>
    <w:p w14:paraId="58B34991" w14:textId="78C745BC"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D1</w:t>
      </w:r>
      <w:r w:rsidRPr="002B1EED">
        <w:rPr>
          <w:rFonts w:ascii="Aptos" w:hAnsi="Aptos"/>
          <w:color w:val="121212"/>
          <w:sz w:val="20"/>
          <w:szCs w:val="20"/>
        </w:rPr>
        <w:t>): [_____]</w:t>
      </w:r>
    </w:p>
    <w:p w14:paraId="711A21C1" w14:textId="48750936"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Component Importance Factor (I</w:t>
      </w:r>
      <w:r w:rsidR="00AA6C11" w:rsidRPr="00AA6C11">
        <w:rPr>
          <w:rFonts w:ascii="Aptos" w:hAnsi="Aptos"/>
          <w:color w:val="121212"/>
          <w:sz w:val="20"/>
          <w:szCs w:val="20"/>
          <w:vertAlign w:val="subscript"/>
        </w:rPr>
        <w:t>P</w:t>
      </w:r>
      <w:r w:rsidRPr="002B1EED">
        <w:rPr>
          <w:rFonts w:ascii="Aptos" w:hAnsi="Aptos"/>
          <w:color w:val="121212"/>
          <w:sz w:val="20"/>
          <w:szCs w:val="20"/>
        </w:rPr>
        <w:t>): [1.0] [1.5]</w:t>
      </w:r>
    </w:p>
    <w:p w14:paraId="334C6255" w14:textId="0E166A52" w:rsidR="00667E6F" w:rsidRDefault="002B1EED" w:rsidP="00767FAE">
      <w:pPr>
        <w:tabs>
          <w:tab w:val="num" w:pos="360"/>
        </w:tabs>
        <w:ind w:left="180" w:right="540"/>
        <w:rPr>
          <w:rFonts w:ascii="Aptos" w:hAnsi="Aptos"/>
          <w:color w:val="121212"/>
          <w:sz w:val="20"/>
          <w:szCs w:val="20"/>
        </w:rPr>
      </w:pPr>
      <w:r w:rsidRPr="002B1EED">
        <w:rPr>
          <w:rFonts w:ascii="Aptos" w:hAnsi="Aptos"/>
          <w:color w:val="121212"/>
          <w:sz w:val="20"/>
          <w:szCs w:val="20"/>
        </w:rPr>
        <w:t>Post-Earthquake Operability Required: [Yes] [No]</w:t>
      </w:r>
    </w:p>
    <w:p w14:paraId="4569DB59" w14:textId="23028316" w:rsidR="007F5DA2" w:rsidRPr="007F5DA2" w:rsidRDefault="007F5DA2" w:rsidP="00055CCE">
      <w:pPr>
        <w:pStyle w:val="Heading2"/>
      </w:pPr>
      <w:r w:rsidRPr="007D45C1">
        <w:rPr>
          <w:b/>
          <w:bCs/>
        </w:rPr>
        <w:t>Wind and Structural Loads</w:t>
      </w:r>
      <w:r w:rsidR="007D45C1">
        <w:rPr>
          <w:b/>
          <w:bCs/>
        </w:rPr>
        <w:br/>
      </w:r>
      <w:r w:rsidRPr="007F5DA2">
        <w:t xml:space="preserve">Equipment, support structures, and anchorage shall be designed to resist wind loads in accordance with ASCE </w:t>
      </w:r>
      <w:r w:rsidR="007D45C1" w:rsidRPr="007D45C1">
        <w:t xml:space="preserve">7-22. </w:t>
      </w:r>
      <w:r w:rsidRPr="007F5DA2">
        <w:t>The manufacturer shall provide structural calculations stamped by a Licensed Professional Engineer (PE) upon request.</w:t>
      </w:r>
    </w:p>
    <w:p w14:paraId="0910D14F" w14:textId="0B0ECEC7" w:rsidR="007F5DA2" w:rsidRPr="007F5DA2" w:rsidRDefault="007F5DA2" w:rsidP="00DC3E00">
      <w:pPr>
        <w:pStyle w:val="11Head-Bullet"/>
      </w:pPr>
      <w:r w:rsidRPr="007F5DA2">
        <w:t>Ultimate Design Wind Speed (V</w:t>
      </w:r>
      <w:r w:rsidRPr="00EC4E8B">
        <w:rPr>
          <w:vertAlign w:val="subscript"/>
        </w:rPr>
        <w:t>ult</w:t>
      </w:r>
      <w:r w:rsidRPr="007F5DA2">
        <w:t>): ______ mph (3-second gust).</w:t>
      </w:r>
    </w:p>
    <w:p w14:paraId="0D823BF7" w14:textId="706E26E4" w:rsidR="007F5DA2" w:rsidRPr="007F5DA2" w:rsidRDefault="007F5DA2" w:rsidP="00DC3E00">
      <w:pPr>
        <w:pStyle w:val="11Head-Bullet"/>
      </w:pPr>
      <w:r w:rsidRPr="007F5DA2">
        <w:t>Category: [B] [C] [D</w:t>
      </w:r>
    </w:p>
    <w:p w14:paraId="58432887" w14:textId="77777777" w:rsidR="007F5DA2" w:rsidRPr="007F5DA2" w:rsidRDefault="007F5DA2" w:rsidP="007F5DA2">
      <w:pPr>
        <w:numPr>
          <w:ilvl w:val="1"/>
          <w:numId w:val="13"/>
        </w:numPr>
        <w:tabs>
          <w:tab w:val="num" w:pos="90"/>
        </w:tabs>
        <w:ind w:right="540"/>
        <w:rPr>
          <w:rFonts w:ascii="Aptos" w:hAnsi="Aptos"/>
          <w:color w:val="121212"/>
          <w:sz w:val="20"/>
          <w:szCs w:val="20"/>
        </w:rPr>
      </w:pPr>
      <w:r w:rsidRPr="007F5DA2">
        <w:rPr>
          <w:rFonts w:ascii="Aptos" w:hAnsi="Aptos"/>
          <w:color w:val="121212"/>
          <w:sz w:val="20"/>
          <w:szCs w:val="20"/>
        </w:rPr>
        <w:t>Category C (open terrain) is the industry default for most substation and industrial environments.</w:t>
      </w:r>
    </w:p>
    <w:p w14:paraId="2376ACEB" w14:textId="77777777" w:rsidR="007F5DA2" w:rsidRPr="007F5DA2" w:rsidRDefault="007F5DA2" w:rsidP="00DC3E00">
      <w:pPr>
        <w:pStyle w:val="11Head-Bullet"/>
      </w:pPr>
      <w:r w:rsidRPr="007F5DA2">
        <w:t>Risk Category: [I] [II] [III] [IV]</w:t>
      </w:r>
    </w:p>
    <w:p w14:paraId="1AD4801A" w14:textId="77777777" w:rsidR="007F5DA2" w:rsidRPr="007F5DA2" w:rsidRDefault="007F5DA2" w:rsidP="007F5DA2">
      <w:pPr>
        <w:numPr>
          <w:ilvl w:val="1"/>
          <w:numId w:val="13"/>
        </w:numPr>
        <w:tabs>
          <w:tab w:val="num" w:pos="90"/>
        </w:tabs>
        <w:ind w:right="540"/>
        <w:rPr>
          <w:rFonts w:ascii="Aptos" w:hAnsi="Aptos"/>
          <w:color w:val="121212"/>
          <w:sz w:val="20"/>
          <w:szCs w:val="20"/>
        </w:rPr>
      </w:pPr>
      <w:r w:rsidRPr="007F5DA2">
        <w:rPr>
          <w:rFonts w:ascii="Aptos" w:hAnsi="Aptos"/>
          <w:color w:val="121212"/>
          <w:sz w:val="20"/>
          <w:szCs w:val="20"/>
        </w:rPr>
        <w:t>Standard industrial equipment is typically Category II, whereas "Essential Facilities" (critical utility infrastructure) require Category IV.</w:t>
      </w:r>
    </w:p>
    <w:p w14:paraId="654318EB" w14:textId="2AF203C4" w:rsidR="007F5DA2" w:rsidRPr="007F5DA2" w:rsidRDefault="007F5DA2" w:rsidP="00DC3E00">
      <w:pPr>
        <w:pStyle w:val="11Head-Bullet"/>
      </w:pPr>
      <w:r w:rsidRPr="007F5DA2">
        <w:t>Ground Elevation Factor (K</w:t>
      </w:r>
      <w:r w:rsidRPr="007F52A5">
        <w:rPr>
          <w:vertAlign w:val="subscript"/>
        </w:rPr>
        <w:t>e</w:t>
      </w:r>
      <w:r w:rsidRPr="007F5DA2">
        <w:t>): ______</w:t>
      </w:r>
    </w:p>
    <w:p w14:paraId="5A1FE768" w14:textId="3A941214" w:rsidR="007F5DA2" w:rsidRPr="007F5DA2" w:rsidRDefault="007F5DA2" w:rsidP="00DC3E00">
      <w:pPr>
        <w:pStyle w:val="11Head-Bullet"/>
      </w:pPr>
      <w:r w:rsidRPr="00B30A3E">
        <w:t>Internal Pressure Coefficient (GC</w:t>
      </w:r>
      <w:r w:rsidRPr="00B30A3E">
        <w:rPr>
          <w:vertAlign w:val="subscript"/>
        </w:rPr>
        <w:t>pi</w:t>
      </w:r>
      <w:r w:rsidRPr="00B30A3E">
        <w:t>):</w:t>
      </w:r>
      <w:r w:rsidRPr="007F5DA2">
        <w:t xml:space="preserve"> The enclosure shall be designed as an "Enclosed" or "Partially Enclosed" structure per ASCE 7 definition, accounting for all ventilation louvers and openings.</w:t>
      </w:r>
    </w:p>
    <w:p w14:paraId="20D2E5D5" w14:textId="6C35A82D" w:rsidR="00395420" w:rsidRPr="009D4DA6" w:rsidRDefault="006E7CCA" w:rsidP="009D4DA6">
      <w:pPr>
        <w:pStyle w:val="Heading1"/>
      </w:pPr>
      <w:r w:rsidRPr="009D4DA6">
        <w:lastRenderedPageBreak/>
        <w:t>Product Certification and Listing</w:t>
      </w:r>
    </w:p>
    <w:p w14:paraId="22FAD503" w14:textId="77777777" w:rsidR="006E7CCA" w:rsidRPr="0015310B" w:rsidRDefault="006E7CCA" w:rsidP="00055CCE">
      <w:pPr>
        <w:pStyle w:val="Heading2"/>
      </w:pPr>
      <w:r w:rsidRPr="00162FBE">
        <w:t>The</w:t>
      </w:r>
      <w:r w:rsidRPr="0015310B">
        <w:t xml:space="preserve"> shunt reactor enclosure system shall be Listed and Labeled by a Nationally Recognized Testing Laboratory (NRTL) to the following standards:</w:t>
      </w:r>
    </w:p>
    <w:p w14:paraId="0BCA8FBC" w14:textId="77777777" w:rsidR="006E7CCA" w:rsidRPr="0015310B" w:rsidRDefault="006E7CCA" w:rsidP="00E20A5A">
      <w:pPr>
        <w:pStyle w:val="NormalWeb"/>
        <w:numPr>
          <w:ilvl w:val="0"/>
          <w:numId w:val="4"/>
        </w:numPr>
        <w:tabs>
          <w:tab w:val="num" w:pos="270"/>
        </w:tabs>
        <w:ind w:left="270" w:right="540" w:hanging="180"/>
        <w:rPr>
          <w:rFonts w:ascii="Aptos" w:hAnsi="Aptos"/>
          <w:sz w:val="20"/>
          <w:szCs w:val="20"/>
        </w:rPr>
      </w:pPr>
      <w:r w:rsidRPr="0015310B">
        <w:rPr>
          <w:rFonts w:ascii="Aptos" w:hAnsi="Aptos"/>
          <w:b/>
          <w:bCs/>
          <w:sz w:val="20"/>
          <w:szCs w:val="20"/>
        </w:rPr>
        <w:t>United States:</w:t>
      </w:r>
      <w:r w:rsidRPr="0015310B">
        <w:rPr>
          <w:rFonts w:ascii="Aptos" w:hAnsi="Aptos"/>
          <w:sz w:val="20"/>
          <w:szCs w:val="20"/>
        </w:rPr>
        <w:t xml:space="preserve"> IEEE C37.20.3 (Standard for Metal-Enclosed Interrupter Switchgear).</w:t>
      </w:r>
    </w:p>
    <w:p w14:paraId="74F8E940" w14:textId="77777777" w:rsidR="006E7CCA" w:rsidRPr="0015310B" w:rsidRDefault="006E7CCA" w:rsidP="00E20A5A">
      <w:pPr>
        <w:pStyle w:val="NormalWeb"/>
        <w:numPr>
          <w:ilvl w:val="0"/>
          <w:numId w:val="4"/>
        </w:numPr>
        <w:tabs>
          <w:tab w:val="num" w:pos="90"/>
        </w:tabs>
        <w:ind w:left="270" w:right="540" w:hanging="180"/>
        <w:rPr>
          <w:rFonts w:ascii="Aptos" w:hAnsi="Aptos"/>
          <w:sz w:val="20"/>
          <w:szCs w:val="20"/>
        </w:rPr>
      </w:pPr>
      <w:r w:rsidRPr="0015310B">
        <w:rPr>
          <w:rFonts w:ascii="Aptos" w:hAnsi="Aptos"/>
          <w:b/>
          <w:bCs/>
          <w:sz w:val="20"/>
          <w:szCs w:val="20"/>
        </w:rPr>
        <w:t>Canada:</w:t>
      </w:r>
      <w:r w:rsidRPr="0015310B">
        <w:rPr>
          <w:rFonts w:ascii="Aptos" w:hAnsi="Aptos"/>
          <w:sz w:val="20"/>
          <w:szCs w:val="20"/>
        </w:rPr>
        <w:t xml:space="preserve"> CSA C22.2 No. 31 (Switchgear Assemblies) or CSA C22.2 No. 190 (Capacitors and Reactors).</w:t>
      </w:r>
    </w:p>
    <w:p w14:paraId="55C7E1D6" w14:textId="7F991B1E" w:rsidR="00395420" w:rsidRPr="0015310B" w:rsidRDefault="00395420" w:rsidP="00055CCE">
      <w:pPr>
        <w:pStyle w:val="Heading2"/>
      </w:pPr>
      <w:r w:rsidRPr="0015310B">
        <w:t xml:space="preserve">The </w:t>
      </w:r>
      <w:r w:rsidR="00D34213">
        <w:t xml:space="preserve">harmonic filter system’s control panel </w:t>
      </w:r>
      <w:r w:rsidRPr="0015310B">
        <w:t>shall be UL508A Certified for both Canadian and US products.</w:t>
      </w:r>
    </w:p>
    <w:p w14:paraId="09FF321E" w14:textId="733CD2D8" w:rsidR="00501C9D" w:rsidRPr="009D4DA6" w:rsidRDefault="00501C9D" w:rsidP="009D4DA6">
      <w:pPr>
        <w:pStyle w:val="Heading1"/>
      </w:pPr>
      <w:r w:rsidRPr="009D4DA6">
        <w:t>Compliance with Standard &amp; Codes</w:t>
      </w:r>
    </w:p>
    <w:p w14:paraId="1E324EF7" w14:textId="6E7839B3" w:rsidR="00501C9D" w:rsidRPr="00395420" w:rsidRDefault="00501C9D" w:rsidP="00055CCE">
      <w:pPr>
        <w:pStyle w:val="Heading2"/>
      </w:pPr>
      <w:r w:rsidRPr="00395420">
        <w:t xml:space="preserve">The metal enclosed </w:t>
      </w:r>
      <w:r w:rsidR="002F59E2">
        <w:t>harmonic filter bank</w:t>
      </w:r>
      <w:r w:rsidRPr="00395420">
        <w:t xml:space="preserve"> shall conform to or exceed the </w:t>
      </w:r>
      <w:r w:rsidR="00341E2F">
        <w:t xml:space="preserve">latest </w:t>
      </w:r>
      <w:r w:rsidRPr="00395420">
        <w:t>applicable requirements of the following standards and codes:</w:t>
      </w:r>
    </w:p>
    <w:p w14:paraId="0B0C17B3" w14:textId="77777777" w:rsidR="00501C9D" w:rsidRPr="00C47C62" w:rsidRDefault="00501C9D" w:rsidP="00C039AC">
      <w:pPr>
        <w:pStyle w:val="BodyTextIndent"/>
        <w:widowControl w:val="0"/>
        <w:tabs>
          <w:tab w:val="num" w:pos="90"/>
        </w:tabs>
        <w:ind w:left="90" w:right="540" w:hanging="360"/>
        <w:rPr>
          <w:rFonts w:ascii="Aptos" w:hAnsi="Aptos"/>
          <w:color w:val="121212"/>
        </w:rPr>
      </w:pPr>
    </w:p>
    <w:p w14:paraId="2425C206" w14:textId="0624B4B9" w:rsidR="00501C9D"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UL-508</w:t>
      </w:r>
      <w:r w:rsidR="0041495E" w:rsidRPr="00692145">
        <w:rPr>
          <w:rFonts w:ascii="Aptos" w:hAnsi="Aptos"/>
          <w:color w:val="121212"/>
        </w:rPr>
        <w:t>A</w:t>
      </w:r>
      <w:r w:rsidR="006A4420" w:rsidRPr="00692145">
        <w:rPr>
          <w:rFonts w:ascii="Aptos" w:hAnsi="Aptos"/>
          <w:color w:val="121212"/>
        </w:rPr>
        <w:t xml:space="preserve">: </w:t>
      </w:r>
      <w:r w:rsidR="008A4CBD" w:rsidRPr="00692145">
        <w:rPr>
          <w:rFonts w:ascii="Aptos" w:hAnsi="Aptos"/>
          <w:color w:val="121212"/>
        </w:rPr>
        <w:t>Standard for Industrial Control Panels</w:t>
      </w:r>
    </w:p>
    <w:p w14:paraId="51C63B54" w14:textId="7EA08093" w:rsidR="00971CF1" w:rsidRDefault="00971CF1"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IEEE C37.20.3</w:t>
      </w:r>
      <w:r w:rsidR="00A16E17">
        <w:rPr>
          <w:rFonts w:ascii="Aptos" w:hAnsi="Aptos"/>
          <w:color w:val="121212"/>
        </w:rPr>
        <w:t xml:space="preserve"> - 2023</w:t>
      </w:r>
      <w:r w:rsidR="006A4420" w:rsidRPr="00692145">
        <w:rPr>
          <w:rFonts w:ascii="Aptos" w:hAnsi="Aptos"/>
          <w:color w:val="121212"/>
        </w:rPr>
        <w:t xml:space="preserve">: </w:t>
      </w:r>
      <w:r w:rsidR="00600F6A" w:rsidRPr="00692145">
        <w:rPr>
          <w:rFonts w:ascii="Aptos" w:hAnsi="Aptos"/>
          <w:color w:val="121212"/>
        </w:rPr>
        <w:t xml:space="preserve">Standard for Metal-Enclosed Interrupter Switchgear </w:t>
      </w:r>
    </w:p>
    <w:p w14:paraId="78CC83E7" w14:textId="7D10AABD" w:rsidR="00651275" w:rsidRDefault="00651275"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IEEE C37.20.</w:t>
      </w:r>
      <w:r>
        <w:rPr>
          <w:rFonts w:ascii="Aptos" w:hAnsi="Aptos"/>
          <w:color w:val="121212"/>
        </w:rPr>
        <w:t>4</w:t>
      </w:r>
      <w:r w:rsidR="00A16E17">
        <w:rPr>
          <w:rFonts w:ascii="Aptos" w:hAnsi="Aptos"/>
          <w:color w:val="121212"/>
        </w:rPr>
        <w:t xml:space="preserve"> - 2013</w:t>
      </w:r>
      <w:r w:rsidRPr="00692145">
        <w:rPr>
          <w:rFonts w:ascii="Aptos" w:hAnsi="Aptos"/>
          <w:color w:val="121212"/>
        </w:rPr>
        <w:t xml:space="preserve">: </w:t>
      </w:r>
      <w:r w:rsidR="00D50270">
        <w:rPr>
          <w:rFonts w:ascii="Aptos" w:hAnsi="Aptos"/>
          <w:color w:val="121212"/>
        </w:rPr>
        <w:t xml:space="preserve">Standard </w:t>
      </w:r>
      <w:r w:rsidR="00667DF9">
        <w:rPr>
          <w:rFonts w:ascii="Aptos" w:hAnsi="Aptos"/>
          <w:color w:val="121212"/>
        </w:rPr>
        <w:t>for Indoor AC Switches (1kV to 38kV) For Use In Metal-Enclosed Switchgear</w:t>
      </w:r>
    </w:p>
    <w:p w14:paraId="73145A5B" w14:textId="063A828F" w:rsidR="000071F5" w:rsidRDefault="00AB154B"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w:t>
      </w:r>
      <w:r w:rsidR="000071F5" w:rsidRPr="000071F5">
        <w:rPr>
          <w:rFonts w:ascii="Aptos" w:hAnsi="Aptos"/>
          <w:color w:val="121212"/>
        </w:rPr>
        <w:t>C37.011-2019</w:t>
      </w:r>
      <w:r>
        <w:rPr>
          <w:rFonts w:ascii="Aptos" w:hAnsi="Aptos"/>
          <w:color w:val="121212"/>
        </w:rPr>
        <w:t xml:space="preserve">: </w:t>
      </w:r>
      <w:r w:rsidR="000071F5" w:rsidRPr="000071F5">
        <w:rPr>
          <w:rFonts w:ascii="Aptos" w:hAnsi="Aptos"/>
          <w:color w:val="121212"/>
        </w:rPr>
        <w:t>Guide for the Application of Transient Recover Voltage in High-Voltage Circuit Breakers</w:t>
      </w:r>
    </w:p>
    <w:p w14:paraId="4D3C03E0" w14:textId="0852FF2F" w:rsidR="007171A8" w:rsidRDefault="007171A8"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C37.04-2018: Standard </w:t>
      </w:r>
      <w:r w:rsidR="00D41DBB">
        <w:rPr>
          <w:rFonts w:ascii="Aptos" w:hAnsi="Aptos"/>
          <w:color w:val="121212"/>
        </w:rPr>
        <w:t xml:space="preserve">for Ratings and Requirements for AC High-Voltage Circuit Breakers </w:t>
      </w:r>
      <w:r w:rsidR="00D05CD9">
        <w:rPr>
          <w:rFonts w:ascii="Aptos" w:hAnsi="Aptos"/>
          <w:color w:val="121212"/>
        </w:rPr>
        <w:t>with Rated Maximum Voltage Above 1000V</w:t>
      </w:r>
    </w:p>
    <w:p w14:paraId="009D31EA" w14:textId="77777777" w:rsidR="000C2D6C" w:rsidRDefault="00AB154B"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AB154B">
        <w:rPr>
          <w:rFonts w:ascii="Aptos" w:hAnsi="Aptos"/>
          <w:color w:val="121212"/>
        </w:rPr>
        <w:t>IEEE 18-20</w:t>
      </w:r>
      <w:r w:rsidR="00C53C36">
        <w:rPr>
          <w:rFonts w:ascii="Aptos" w:hAnsi="Aptos"/>
          <w:color w:val="121212"/>
        </w:rPr>
        <w:t>25</w:t>
      </w:r>
      <w:r>
        <w:rPr>
          <w:rFonts w:ascii="Aptos" w:hAnsi="Aptos"/>
          <w:color w:val="121212"/>
        </w:rPr>
        <w:t>:</w:t>
      </w:r>
      <w:r w:rsidRPr="00AB154B">
        <w:rPr>
          <w:rFonts w:ascii="Aptos" w:hAnsi="Aptos"/>
          <w:color w:val="121212"/>
        </w:rPr>
        <w:t xml:space="preserve"> Standard for Shunt Power Capacitors</w:t>
      </w:r>
    </w:p>
    <w:p w14:paraId="1A4AC22C" w14:textId="388FD2F7" w:rsidR="00AB154B" w:rsidRDefault="000C2D6C"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w:t>
      </w:r>
      <w:r w:rsidRPr="003023DA">
        <w:rPr>
          <w:rFonts w:ascii="Aptos" w:hAnsi="Aptos"/>
          <w:color w:val="121212"/>
        </w:rPr>
        <w:t>C</w:t>
      </w:r>
      <w:r w:rsidRPr="00DB39DF">
        <w:rPr>
          <w:rFonts w:ascii="Aptos" w:hAnsi="Aptos"/>
          <w:color w:val="121212"/>
        </w:rPr>
        <w:t>57.32</w:t>
      </w:r>
      <w:r>
        <w:rPr>
          <w:rFonts w:ascii="Aptos" w:hAnsi="Aptos"/>
          <w:color w:val="121212"/>
        </w:rPr>
        <w:t>: S</w:t>
      </w:r>
      <w:r w:rsidRPr="00DB39DF">
        <w:rPr>
          <w:rFonts w:ascii="Aptos" w:hAnsi="Aptos"/>
          <w:color w:val="121212"/>
        </w:rPr>
        <w:t>tandard for Terminology, Step-Voltage Regulators, and Requirements for Grounding-Device and Filter Resistors</w:t>
      </w:r>
    </w:p>
    <w:p w14:paraId="40BC8757" w14:textId="09D973B9" w:rsidR="00647ACB" w:rsidRDefault="00647ACB"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47ACB">
        <w:rPr>
          <w:rFonts w:ascii="Aptos" w:hAnsi="Aptos"/>
          <w:color w:val="121212"/>
        </w:rPr>
        <w:t>IEEE 1531-20</w:t>
      </w:r>
      <w:r w:rsidR="00901FA6">
        <w:rPr>
          <w:rFonts w:ascii="Aptos" w:hAnsi="Aptos"/>
          <w:color w:val="121212"/>
        </w:rPr>
        <w:t>20</w:t>
      </w:r>
      <w:r>
        <w:rPr>
          <w:rFonts w:ascii="Aptos" w:hAnsi="Aptos"/>
          <w:color w:val="121212"/>
        </w:rPr>
        <w:t>:</w:t>
      </w:r>
      <w:r w:rsidRPr="00647ACB">
        <w:rPr>
          <w:rFonts w:ascii="Aptos" w:hAnsi="Aptos"/>
          <w:color w:val="121212"/>
        </w:rPr>
        <w:t xml:space="preserve"> Guide to Application and Specification of Harmonic Filters</w:t>
      </w:r>
    </w:p>
    <w:p w14:paraId="6C39FBDD" w14:textId="7EC86E09" w:rsidR="00591356" w:rsidRDefault="00591356"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591356">
        <w:rPr>
          <w:rFonts w:ascii="Aptos" w:hAnsi="Aptos"/>
          <w:color w:val="121212"/>
        </w:rPr>
        <w:t>IEEE 519-2022</w:t>
      </w:r>
      <w:r>
        <w:rPr>
          <w:rFonts w:ascii="Aptos" w:hAnsi="Aptos"/>
          <w:color w:val="121212"/>
        </w:rPr>
        <w:t xml:space="preserve">: </w:t>
      </w:r>
      <w:r w:rsidRPr="00591356">
        <w:rPr>
          <w:rFonts w:ascii="Aptos" w:hAnsi="Aptos"/>
          <w:color w:val="121212"/>
        </w:rPr>
        <w:t>Standard for Harmonic Control in Electric Power Systems</w:t>
      </w:r>
    </w:p>
    <w:p w14:paraId="28253B03" w14:textId="0EFBC238" w:rsidR="00591356" w:rsidRDefault="00591356"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591356">
        <w:rPr>
          <w:rFonts w:ascii="Aptos" w:hAnsi="Aptos"/>
          <w:color w:val="121212"/>
        </w:rPr>
        <w:t>IEEE 1036-2020</w:t>
      </w:r>
      <w:r>
        <w:rPr>
          <w:rFonts w:ascii="Aptos" w:hAnsi="Aptos"/>
          <w:color w:val="121212"/>
        </w:rPr>
        <w:t xml:space="preserve">: </w:t>
      </w:r>
      <w:r w:rsidRPr="00591356">
        <w:rPr>
          <w:rFonts w:ascii="Aptos" w:hAnsi="Aptos"/>
          <w:color w:val="121212"/>
        </w:rPr>
        <w:t>Guide for the Application of Shunt Power Capacitors</w:t>
      </w:r>
    </w:p>
    <w:p w14:paraId="0E3CD318" w14:textId="2BB3F328" w:rsidR="007C7D52" w:rsidRDefault="007C7D52"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7C7D52">
        <w:rPr>
          <w:rFonts w:ascii="Aptos" w:hAnsi="Aptos"/>
          <w:color w:val="121212"/>
        </w:rPr>
        <w:t>IEEE C37.66-2021</w:t>
      </w:r>
      <w:r>
        <w:rPr>
          <w:rFonts w:ascii="Aptos" w:hAnsi="Aptos"/>
          <w:color w:val="121212"/>
        </w:rPr>
        <w:t>:</w:t>
      </w:r>
      <w:r w:rsidRPr="007C7D52">
        <w:rPr>
          <w:rFonts w:ascii="Aptos" w:hAnsi="Aptos"/>
          <w:color w:val="121212"/>
        </w:rPr>
        <w:t xml:space="preserve"> IEEE Standard Requirements for Capacitor Switches</w:t>
      </w:r>
    </w:p>
    <w:p w14:paraId="1F1ECE84" w14:textId="066FE8A6" w:rsidR="009B67D2" w:rsidRDefault="009B67D2"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9B67D2">
        <w:rPr>
          <w:rFonts w:ascii="Aptos" w:hAnsi="Aptos"/>
          <w:color w:val="121212"/>
        </w:rPr>
        <w:t>IEEE C37.012-2022</w:t>
      </w:r>
      <w:r>
        <w:rPr>
          <w:rFonts w:ascii="Aptos" w:hAnsi="Aptos"/>
          <w:color w:val="121212"/>
        </w:rPr>
        <w:t xml:space="preserve">: </w:t>
      </w:r>
      <w:r w:rsidRPr="009B67D2">
        <w:rPr>
          <w:rFonts w:ascii="Aptos" w:hAnsi="Aptos"/>
          <w:color w:val="121212"/>
        </w:rPr>
        <w:t>Guide for the Application of Capacitive Current Switching for AC High-Voltage Circuit Breakers Above 1000V</w:t>
      </w:r>
    </w:p>
    <w:p w14:paraId="335E4093" w14:textId="3300EC54" w:rsidR="007C7D52" w:rsidRDefault="007C7D52"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7C7D52">
        <w:rPr>
          <w:rFonts w:ascii="Aptos" w:hAnsi="Aptos"/>
          <w:color w:val="121212"/>
        </w:rPr>
        <w:t>IEEE C37.99-2012</w:t>
      </w:r>
      <w:r>
        <w:rPr>
          <w:rFonts w:ascii="Aptos" w:hAnsi="Aptos"/>
          <w:color w:val="121212"/>
        </w:rPr>
        <w:t>:</w:t>
      </w:r>
      <w:r w:rsidRPr="007C7D52">
        <w:rPr>
          <w:rFonts w:ascii="Aptos" w:hAnsi="Aptos"/>
          <w:color w:val="121212"/>
        </w:rPr>
        <w:t xml:space="preserve"> Guide for the Protection of Shunt Power Capacitor Banks</w:t>
      </w:r>
    </w:p>
    <w:p w14:paraId="775613ED" w14:textId="4C87EDD7" w:rsidR="00FB155E" w:rsidRDefault="00FB155E"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FB155E">
        <w:rPr>
          <w:rFonts w:ascii="Aptos" w:hAnsi="Aptos"/>
          <w:color w:val="121212"/>
        </w:rPr>
        <w:t>IEEE PES-TR16</w:t>
      </w:r>
      <w:r>
        <w:rPr>
          <w:rFonts w:ascii="Aptos" w:hAnsi="Aptos"/>
          <w:color w:val="121212"/>
        </w:rPr>
        <w:t xml:space="preserve">: </w:t>
      </w:r>
      <w:r w:rsidRPr="00FB155E">
        <w:rPr>
          <w:rFonts w:ascii="Aptos" w:hAnsi="Aptos"/>
          <w:color w:val="121212"/>
        </w:rPr>
        <w:t>Transient Limiting Inductor Applications in Shunt Capacitor Banks</w:t>
      </w:r>
    </w:p>
    <w:p w14:paraId="72471E0C" w14:textId="25A57277" w:rsidR="00CE00E3" w:rsidRDefault="00CE00E3"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CE00E3">
        <w:rPr>
          <w:rFonts w:ascii="Aptos" w:hAnsi="Aptos"/>
          <w:color w:val="121212"/>
        </w:rPr>
        <w:t>IEEE-C62.22-2009</w:t>
      </w:r>
      <w:r>
        <w:rPr>
          <w:rFonts w:ascii="Aptos" w:hAnsi="Aptos"/>
          <w:color w:val="121212"/>
        </w:rPr>
        <w:t xml:space="preserve">: </w:t>
      </w:r>
      <w:r w:rsidRPr="00CE00E3">
        <w:rPr>
          <w:rFonts w:ascii="Aptos" w:hAnsi="Aptos"/>
          <w:color w:val="121212"/>
        </w:rPr>
        <w:t>Guide for the Application of Metal-Oxide Surge Arresters for Alternating-Current Systems</w:t>
      </w:r>
    </w:p>
    <w:p w14:paraId="4E51E6DD" w14:textId="3C3C36E0" w:rsidR="00E94B2D" w:rsidRDefault="00E94B2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E94B2D">
        <w:rPr>
          <w:rFonts w:ascii="Aptos" w:hAnsi="Aptos"/>
          <w:color w:val="121212"/>
        </w:rPr>
        <w:t>IEEE C37.20.7-2024</w:t>
      </w:r>
      <w:r>
        <w:rPr>
          <w:rFonts w:ascii="Aptos" w:hAnsi="Aptos"/>
          <w:color w:val="121212"/>
        </w:rPr>
        <w:t>:</w:t>
      </w:r>
      <w:r w:rsidR="007A0AFF">
        <w:rPr>
          <w:rFonts w:ascii="Aptos" w:hAnsi="Aptos"/>
          <w:color w:val="121212"/>
        </w:rPr>
        <w:t xml:space="preserve"> Recommended Practice for Testing Switchgear Rated Up to 52kV for Internal Arcing Faults</w:t>
      </w:r>
      <w:r>
        <w:rPr>
          <w:rFonts w:ascii="Aptos" w:hAnsi="Aptos"/>
          <w:color w:val="121212"/>
        </w:rPr>
        <w:t xml:space="preserve"> </w:t>
      </w:r>
    </w:p>
    <w:p w14:paraId="64602607" w14:textId="5CD2E32D" w:rsidR="008A4183" w:rsidRDefault="008A4183"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C37.48-2020: </w:t>
      </w:r>
      <w:r w:rsidR="00E54891">
        <w:rPr>
          <w:rFonts w:ascii="Aptos" w:hAnsi="Aptos"/>
          <w:color w:val="121212"/>
        </w:rPr>
        <w:t>G</w:t>
      </w:r>
      <w:r w:rsidR="00E54891" w:rsidRPr="00E54891">
        <w:rPr>
          <w:rFonts w:ascii="Aptos" w:hAnsi="Aptos"/>
          <w:color w:val="121212"/>
        </w:rPr>
        <w:t>uide and Tutorial for the Application of High-Voltage (&gt; 1000 V) Fuses and Accessories</w:t>
      </w:r>
    </w:p>
    <w:p w14:paraId="12A94F3E" w14:textId="038A1BFB" w:rsidR="009A1E4B"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UL-50</w:t>
      </w:r>
      <w:r w:rsidR="00955B28" w:rsidRPr="00692145">
        <w:rPr>
          <w:rFonts w:ascii="Aptos" w:hAnsi="Aptos"/>
          <w:color w:val="121212"/>
        </w:rPr>
        <w:t xml:space="preserve"> &amp; UL 50E</w:t>
      </w:r>
      <w:r w:rsidR="006A4420" w:rsidRPr="00692145">
        <w:rPr>
          <w:rFonts w:ascii="Aptos" w:hAnsi="Aptos"/>
          <w:color w:val="121212"/>
        </w:rPr>
        <w:t xml:space="preserve">: </w:t>
      </w:r>
      <w:r w:rsidR="00955B28" w:rsidRPr="00692145">
        <w:rPr>
          <w:rFonts w:ascii="Aptos" w:hAnsi="Aptos"/>
          <w:color w:val="121212"/>
        </w:rPr>
        <w:t>Enclosures for Electrical Equipment, Environmental Considerations</w:t>
      </w:r>
    </w:p>
    <w:p w14:paraId="7829B1F8" w14:textId="68174341" w:rsidR="00501C9D"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ANSI Z535.4</w:t>
      </w:r>
      <w:r w:rsidR="00254D75">
        <w:rPr>
          <w:rFonts w:ascii="Aptos" w:hAnsi="Aptos"/>
          <w:color w:val="121212"/>
        </w:rPr>
        <w:t xml:space="preserve"> - </w:t>
      </w:r>
      <w:r w:rsidR="00437989" w:rsidRPr="00692145">
        <w:rPr>
          <w:rFonts w:ascii="Aptos" w:hAnsi="Aptos"/>
          <w:color w:val="121212"/>
        </w:rPr>
        <w:t>R2023</w:t>
      </w:r>
      <w:r w:rsidR="00901FA6">
        <w:rPr>
          <w:rFonts w:ascii="Aptos" w:hAnsi="Aptos"/>
          <w:color w:val="121212"/>
        </w:rPr>
        <w:t>:</w:t>
      </w:r>
      <w:r w:rsidRPr="00692145">
        <w:rPr>
          <w:rFonts w:ascii="Aptos" w:hAnsi="Aptos"/>
          <w:color w:val="121212"/>
        </w:rPr>
        <w:t xml:space="preserve"> Product Safety </w:t>
      </w:r>
      <w:r w:rsidR="00437989" w:rsidRPr="00692145">
        <w:rPr>
          <w:rFonts w:ascii="Aptos" w:hAnsi="Aptos"/>
          <w:color w:val="121212"/>
        </w:rPr>
        <w:t>Signs and Labels</w:t>
      </w:r>
    </w:p>
    <w:p w14:paraId="6019D942" w14:textId="1A991F46" w:rsidR="00C47C62" w:rsidRPr="00692145" w:rsidRDefault="00A83393"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NFPA 70 – 2023: </w:t>
      </w:r>
      <w:r w:rsidR="00501C9D" w:rsidRPr="00692145">
        <w:rPr>
          <w:rFonts w:ascii="Aptos" w:hAnsi="Aptos"/>
          <w:color w:val="121212"/>
        </w:rPr>
        <w:t>Article 4</w:t>
      </w:r>
      <w:r w:rsidR="00D35331">
        <w:rPr>
          <w:rFonts w:ascii="Aptos" w:hAnsi="Aptos"/>
          <w:color w:val="121212"/>
        </w:rPr>
        <w:t>6</w:t>
      </w:r>
      <w:r w:rsidR="00501C9D" w:rsidRPr="00692145">
        <w:rPr>
          <w:rFonts w:ascii="Aptos" w:hAnsi="Aptos"/>
          <w:color w:val="121212"/>
        </w:rPr>
        <w:t>0</w:t>
      </w:r>
      <w:r w:rsidR="00D35331">
        <w:rPr>
          <w:rFonts w:ascii="Aptos" w:hAnsi="Aptos"/>
          <w:color w:val="121212"/>
        </w:rPr>
        <w:t xml:space="preserve"> </w:t>
      </w:r>
      <w:r w:rsidR="00C21C88">
        <w:rPr>
          <w:rFonts w:ascii="Aptos" w:hAnsi="Aptos"/>
          <w:color w:val="121212"/>
        </w:rPr>
        <w:t xml:space="preserve">and Article 490 </w:t>
      </w:r>
      <w:r w:rsidR="00501C9D" w:rsidRPr="00692145">
        <w:rPr>
          <w:rFonts w:ascii="Aptos" w:hAnsi="Aptos"/>
          <w:color w:val="121212"/>
        </w:rPr>
        <w:t>of the National Electrical Code</w:t>
      </w:r>
    </w:p>
    <w:p w14:paraId="7F426A68" w14:textId="0E4B0FBC" w:rsidR="00667E6F"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ANSI C37.20.2</w:t>
      </w:r>
      <w:r w:rsidR="00A83393">
        <w:rPr>
          <w:rFonts w:ascii="Aptos" w:hAnsi="Aptos"/>
          <w:color w:val="121212"/>
        </w:rPr>
        <w:t>:</w:t>
      </w:r>
      <w:r w:rsidRPr="00692145">
        <w:rPr>
          <w:rFonts w:ascii="Aptos" w:hAnsi="Aptos"/>
          <w:color w:val="121212"/>
        </w:rPr>
        <w:t xml:space="preserve"> Guide for Enclosure Categories and Related Requirements</w:t>
      </w:r>
    </w:p>
    <w:p w14:paraId="1D77F50A" w14:textId="70A76773" w:rsidR="007A5369" w:rsidRDefault="007A5369"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NFPA 70-2023</w:t>
      </w:r>
      <w:r w:rsidR="00A83393">
        <w:rPr>
          <w:rFonts w:ascii="Aptos" w:hAnsi="Aptos"/>
          <w:color w:val="121212"/>
        </w:rPr>
        <w:t>:</w:t>
      </w:r>
      <w:r w:rsidRPr="00692145">
        <w:rPr>
          <w:rFonts w:ascii="Aptos" w:hAnsi="Aptos"/>
          <w:color w:val="121212"/>
        </w:rPr>
        <w:t xml:space="preserve"> Article 490: Equipment</w:t>
      </w:r>
      <w:r w:rsidR="006A4420" w:rsidRPr="00692145">
        <w:rPr>
          <w:rFonts w:ascii="Aptos" w:hAnsi="Aptos"/>
          <w:color w:val="121212"/>
        </w:rPr>
        <w:t xml:space="preserve"> Over 1000 Volts, Nominal</w:t>
      </w:r>
    </w:p>
    <w:p w14:paraId="2B028F61" w14:textId="77777777" w:rsidR="00441C46" w:rsidRDefault="00441C46" w:rsidP="00C039AC">
      <w:pPr>
        <w:pStyle w:val="BodyTextIndent"/>
        <w:widowControl w:val="0"/>
        <w:tabs>
          <w:tab w:val="num" w:pos="90"/>
        </w:tabs>
        <w:ind w:left="90" w:right="540" w:hanging="360"/>
        <w:rPr>
          <w:rFonts w:ascii="Aptos" w:hAnsi="Aptos"/>
          <w:color w:val="121212"/>
        </w:rPr>
      </w:pPr>
    </w:p>
    <w:p w14:paraId="0E322637" w14:textId="77777777" w:rsidR="00B30A3E" w:rsidRDefault="00B30A3E" w:rsidP="00C039AC">
      <w:pPr>
        <w:pStyle w:val="BodyTextIndent"/>
        <w:widowControl w:val="0"/>
        <w:tabs>
          <w:tab w:val="num" w:pos="90"/>
        </w:tabs>
        <w:ind w:left="90" w:right="540" w:hanging="360"/>
        <w:rPr>
          <w:rFonts w:ascii="Aptos" w:hAnsi="Aptos"/>
          <w:color w:val="121212"/>
        </w:rPr>
      </w:pPr>
    </w:p>
    <w:p w14:paraId="3CE3299D" w14:textId="256F39E7" w:rsidR="00296F2B" w:rsidRPr="009D4DA6" w:rsidRDefault="00BC61F2" w:rsidP="009D4DA6">
      <w:pPr>
        <w:pStyle w:val="Heading1"/>
      </w:pPr>
      <w:r w:rsidRPr="009D4DA6">
        <w:lastRenderedPageBreak/>
        <w:t>Enclosure Construct</w:t>
      </w:r>
      <w:r w:rsidR="00445825" w:rsidRPr="009D4DA6">
        <w:t>ion</w:t>
      </w:r>
    </w:p>
    <w:p w14:paraId="37008437" w14:textId="29F7D82A" w:rsidR="00C81C58" w:rsidRPr="00C81C58" w:rsidRDefault="00C81C58" w:rsidP="00055CCE">
      <w:pPr>
        <w:pStyle w:val="Heading2"/>
      </w:pPr>
      <w:r w:rsidRPr="00C81C58">
        <w:rPr>
          <w:b/>
        </w:rPr>
        <w:t>Manufacturing and Responsibility</w:t>
      </w:r>
      <w:r>
        <w:rPr>
          <w:b/>
        </w:rPr>
        <w:br/>
      </w:r>
      <w:r w:rsidRPr="00C81C58">
        <w:t xml:space="preserve">The manufacturer of the enclosure shall also be the assembler of the shunt </w:t>
      </w:r>
      <w:r w:rsidR="009F291E">
        <w:t>filter bank</w:t>
      </w:r>
      <w:r w:rsidRPr="00C81C58">
        <w:t>. This integration is mandatory to ensure single-point accountability and total control over critical processes, including structural welding, surface preparation, and the application of the specified coating system.</w:t>
      </w:r>
    </w:p>
    <w:p w14:paraId="29DD0275" w14:textId="48669A04" w:rsidR="00C81C58" w:rsidRPr="00767FAE" w:rsidRDefault="00C81C58" w:rsidP="00055CCE">
      <w:pPr>
        <w:pStyle w:val="Heading2"/>
        <w:rPr>
          <w:b/>
          <w:bCs/>
        </w:rPr>
      </w:pPr>
      <w:r w:rsidRPr="00767FAE">
        <w:rPr>
          <w:b/>
          <w:bCs/>
        </w:rPr>
        <w:t>Structural Design</w:t>
      </w:r>
    </w:p>
    <w:p w14:paraId="1EB3F921" w14:textId="5D51A83D" w:rsidR="00C81C58" w:rsidRPr="00C81C58" w:rsidRDefault="00C81C58" w:rsidP="000F36A3">
      <w:pPr>
        <w:pStyle w:val="11Head-Bullet"/>
      </w:pPr>
      <w:r w:rsidRPr="00C81C58">
        <w:rPr>
          <w:b/>
          <w:color w:val="121212"/>
        </w:rPr>
        <w:t>Configuration</w:t>
      </w:r>
      <w:r w:rsidRPr="00C81C58">
        <w:rPr>
          <w:b/>
        </w:rPr>
        <w:t>:</w:t>
      </w:r>
      <w:r w:rsidRPr="00C81C58">
        <w:t xml:space="preserve"> The shunt </w:t>
      </w:r>
      <w:r w:rsidR="009F291E">
        <w:t>filter bank</w:t>
      </w:r>
      <w:r w:rsidRPr="00C81C58">
        <w:t xml:space="preserve"> shall be a NEMA 3R, flush-door enclosure housing all necessary components, including controls, fuses, reactors, switches, and RC snubbers.</w:t>
      </w:r>
    </w:p>
    <w:p w14:paraId="79692A6C" w14:textId="232F582F" w:rsidR="00C81C58" w:rsidRPr="00C81C58" w:rsidRDefault="00C81C58" w:rsidP="000F36A3">
      <w:pPr>
        <w:pStyle w:val="11Head-Bullet"/>
        <w:rPr>
          <w:color w:val="121212"/>
        </w:rPr>
      </w:pPr>
      <w:r w:rsidRPr="00C81C58">
        <w:rPr>
          <w:b/>
          <w:color w:val="121212"/>
        </w:rPr>
        <w:t>Accessibility:</w:t>
      </w:r>
      <w:r w:rsidRPr="00C81C58">
        <w:rPr>
          <w:color w:val="121212"/>
        </w:rPr>
        <w:t xml:space="preserve"> All components shall be accessible and removable from the front or side of the enclosure. </w:t>
      </w:r>
    </w:p>
    <w:p w14:paraId="528D5D5B" w14:textId="169E9651" w:rsidR="00C81C58" w:rsidRPr="00C81C58" w:rsidRDefault="00C81C58" w:rsidP="000F36A3">
      <w:pPr>
        <w:pStyle w:val="11Head-Bullet"/>
        <w:rPr>
          <w:color w:val="121212"/>
        </w:rPr>
      </w:pPr>
      <w:r w:rsidRPr="000135E7">
        <w:rPr>
          <w:b/>
          <w:bCs/>
          <w:color w:val="121212"/>
        </w:rPr>
        <w:t xml:space="preserve">Materials: </w:t>
      </w:r>
      <w:r w:rsidRPr="00C81C58">
        <w:rPr>
          <w:color w:val="121212"/>
        </w:rPr>
        <w:t>Enclosure walls and doors shall be fabricated from 11-gauge cold-rolled A60 galvannealed steel</w:t>
      </w:r>
      <w:r w:rsidR="000135E7">
        <w:rPr>
          <w:color w:val="121212"/>
        </w:rPr>
        <w:t xml:space="preserve"> (or specify 12-guage stainless steel, type 304, 316, or 409)</w:t>
      </w:r>
      <w:r w:rsidRPr="00C81C58">
        <w:rPr>
          <w:color w:val="121212"/>
        </w:rPr>
        <w:t>.</w:t>
      </w:r>
    </w:p>
    <w:p w14:paraId="14434A19" w14:textId="77777777" w:rsidR="00C81C58" w:rsidRPr="00C81C58" w:rsidRDefault="00C81C58" w:rsidP="000F36A3">
      <w:pPr>
        <w:pStyle w:val="11Head-Bullet"/>
        <w:rPr>
          <w:color w:val="121212"/>
        </w:rPr>
      </w:pPr>
      <w:r w:rsidRPr="00C81C58">
        <w:rPr>
          <w:b/>
          <w:color w:val="121212"/>
        </w:rPr>
        <w:t>Roof:</w:t>
      </w:r>
      <w:r w:rsidRPr="00C81C58">
        <w:rPr>
          <w:color w:val="121212"/>
        </w:rPr>
        <w:t xml:space="preserve"> The roof shall be cross-kinked, half-gabled, or full-gabled to ensure positive watershed.</w:t>
      </w:r>
    </w:p>
    <w:p w14:paraId="747E52FB" w14:textId="77777777" w:rsidR="00C81C58" w:rsidRPr="00C81C58" w:rsidRDefault="00C81C58" w:rsidP="000F36A3">
      <w:pPr>
        <w:pStyle w:val="11Head-Bullet"/>
        <w:rPr>
          <w:color w:val="121212"/>
        </w:rPr>
      </w:pPr>
      <w:r w:rsidRPr="00C81C58">
        <w:rPr>
          <w:b/>
          <w:color w:val="121212"/>
        </w:rPr>
        <w:t>Base:</w:t>
      </w:r>
      <w:r w:rsidRPr="00C81C58">
        <w:rPr>
          <w:color w:val="121212"/>
        </w:rPr>
        <w:t xml:space="preserve"> The enclosure base shall be constructed of C4x5.4 structural steel channel. Formed sheet-metal bases are prohibited.</w:t>
      </w:r>
    </w:p>
    <w:p w14:paraId="2D426657" w14:textId="5E2DED63" w:rsidR="00C81C58" w:rsidRDefault="00C81C58" w:rsidP="000F36A3">
      <w:pPr>
        <w:pStyle w:val="11Head-Bullet"/>
      </w:pPr>
      <w:r w:rsidRPr="00C81C58">
        <w:rPr>
          <w:b/>
          <w:color w:val="121212"/>
        </w:rPr>
        <w:t>Lifting:</w:t>
      </w:r>
      <w:r w:rsidRPr="00C81C58">
        <w:rPr>
          <w:color w:val="121212"/>
        </w:rPr>
        <w:t xml:space="preserve"> </w:t>
      </w:r>
      <w:r w:rsidR="00805077" w:rsidRPr="00805077">
        <w:rPr>
          <w:color w:val="121212"/>
        </w:rPr>
        <w:t xml:space="preserve">Removable 1/2-inch steel lifting plates shall be provided at each corner. Where equipment length could result in undue flexing during lifting, additional welded lifting points shall be provided along the </w:t>
      </w:r>
      <w:r w:rsidR="00805077">
        <w:rPr>
          <w:color w:val="121212"/>
        </w:rPr>
        <w:t xml:space="preserve">C4x5.4 base channel. </w:t>
      </w:r>
    </w:p>
    <w:p w14:paraId="497BB5DE" w14:textId="7C8BC8E0" w:rsidR="00AB604D" w:rsidRPr="00AB604D" w:rsidRDefault="00AB604D" w:rsidP="00055CCE">
      <w:pPr>
        <w:pStyle w:val="Heading2"/>
      </w:pPr>
      <w:r w:rsidRPr="002755B2">
        <w:rPr>
          <w:b/>
        </w:rPr>
        <w:t>Coating and Finish</w:t>
      </w:r>
      <w:r w:rsidR="000377FE">
        <w:rPr>
          <w:b/>
        </w:rPr>
        <w:br/>
      </w:r>
      <w:r w:rsidRPr="00AB604D">
        <w:t xml:space="preserve">The enclosure shall be finished with a high-performance, high-solids epoxy system. </w:t>
      </w:r>
      <w:r w:rsidR="000377FE">
        <w:t>Interior and e</w:t>
      </w:r>
      <w:r w:rsidRPr="00AB604D">
        <w:t xml:space="preserve">xterior surfaces shall be finished in </w:t>
      </w:r>
      <w:r w:rsidR="000377FE">
        <w:t xml:space="preserve">ANSI 61 Gray. </w:t>
      </w:r>
    </w:p>
    <w:p w14:paraId="29FCEDCD" w14:textId="77777777" w:rsidR="00AB604D" w:rsidRPr="00AB604D" w:rsidRDefault="00AB604D" w:rsidP="000F36A3">
      <w:pPr>
        <w:pStyle w:val="11Head-Bullet"/>
      </w:pPr>
      <w:r w:rsidRPr="00AB604D">
        <w:rPr>
          <w:b/>
          <w:bCs/>
          <w:color w:val="121212"/>
        </w:rPr>
        <w:t>Surface</w:t>
      </w:r>
      <w:r w:rsidRPr="00AB604D">
        <w:rPr>
          <w:b/>
          <w:bCs/>
        </w:rPr>
        <w:t xml:space="preserve"> Preparation:</w:t>
      </w:r>
      <w:r w:rsidRPr="00AB604D">
        <w:t xml:space="preserve"> All surfaces shall be prepared per SSPC/AMPP (SP2, 3, 6, 7, 10, 11) or the paint manufacturer’s specific recommendations. Documentation of preparation procedures must be included in the submittal.</w:t>
      </w:r>
    </w:p>
    <w:p w14:paraId="673BA5C4" w14:textId="77777777" w:rsidR="00AB604D" w:rsidRPr="00AB604D" w:rsidRDefault="00AB604D" w:rsidP="000F36A3">
      <w:pPr>
        <w:pStyle w:val="11Head-Bullet"/>
      </w:pPr>
      <w:r w:rsidRPr="00AB604D">
        <w:rPr>
          <w:b/>
          <w:bCs/>
          <w:color w:val="121212"/>
        </w:rPr>
        <w:t>Inaccessible</w:t>
      </w:r>
      <w:r w:rsidRPr="00AB604D">
        <w:rPr>
          <w:b/>
          <w:bCs/>
        </w:rPr>
        <w:t xml:space="preserve"> Surfaces:</w:t>
      </w:r>
      <w:r w:rsidRPr="00AB604D">
        <w:t xml:space="preserve"> Any surface rendered inaccessible after fabrication must receive the full coating system prior to assembly. These areas are classified as Zone 2A per SSPC.</w:t>
      </w:r>
    </w:p>
    <w:p w14:paraId="7653374D" w14:textId="77777777" w:rsidR="00AB604D" w:rsidRPr="00AB604D" w:rsidRDefault="00AB604D" w:rsidP="000F36A3">
      <w:pPr>
        <w:pStyle w:val="11Head-Bullet"/>
      </w:pPr>
      <w:r w:rsidRPr="00AB604D">
        <w:rPr>
          <w:b/>
          <w:bCs/>
          <w:color w:val="121212"/>
        </w:rPr>
        <w:t>Performance</w:t>
      </w:r>
      <w:r w:rsidRPr="00AB604D">
        <w:rPr>
          <w:b/>
          <w:bCs/>
        </w:rPr>
        <w:t xml:space="preserve"> Metrics:</w:t>
      </w:r>
      <w:r w:rsidRPr="00AB604D">
        <w:t xml:space="preserve"> The total Dry Film Thickness (DFT) shall be 3.5 to 8.0 mils. The coating must meet the following:</w:t>
      </w:r>
    </w:p>
    <w:p w14:paraId="717D82C6" w14:textId="77777777" w:rsidR="00AB604D" w:rsidRPr="000377FE" w:rsidRDefault="00AB604D" w:rsidP="00E20A5A">
      <w:pPr>
        <w:pStyle w:val="11Head-Bullet"/>
        <w:numPr>
          <w:ilvl w:val="1"/>
          <w:numId w:val="6"/>
        </w:numPr>
      </w:pPr>
      <w:r w:rsidRPr="000377FE">
        <w:rPr>
          <w:b/>
          <w:bCs/>
        </w:rPr>
        <w:t>Salt Spray (ASTM B117):</w:t>
      </w:r>
      <w:r w:rsidRPr="000377FE">
        <w:t xml:space="preserve"> 5500 Hours (no face blistering).</w:t>
      </w:r>
    </w:p>
    <w:p w14:paraId="770EE53B" w14:textId="77777777" w:rsidR="00AB604D" w:rsidRPr="000377FE" w:rsidRDefault="00AB604D" w:rsidP="00E20A5A">
      <w:pPr>
        <w:pStyle w:val="11Head-Bullet"/>
        <w:numPr>
          <w:ilvl w:val="1"/>
          <w:numId w:val="6"/>
        </w:numPr>
      </w:pPr>
      <w:r w:rsidRPr="00777525">
        <w:rPr>
          <w:b/>
          <w:bCs/>
          <w:color w:val="121212"/>
        </w:rPr>
        <w:t>Humidity</w:t>
      </w:r>
      <w:r w:rsidRPr="000377FE">
        <w:rPr>
          <w:b/>
          <w:bCs/>
        </w:rPr>
        <w:t xml:space="preserve"> (ASTM D2247):</w:t>
      </w:r>
      <w:r w:rsidRPr="000377FE">
        <w:t xml:space="preserve"> 5500 Hours (no face corrosion/blistering).</w:t>
      </w:r>
    </w:p>
    <w:p w14:paraId="117CF9A7" w14:textId="77777777" w:rsidR="00AB604D" w:rsidRPr="000377FE" w:rsidRDefault="00AB604D" w:rsidP="00E20A5A">
      <w:pPr>
        <w:pStyle w:val="11Head-Bullet"/>
        <w:numPr>
          <w:ilvl w:val="1"/>
          <w:numId w:val="6"/>
        </w:numPr>
      </w:pPr>
      <w:r w:rsidRPr="00777525">
        <w:rPr>
          <w:b/>
          <w:bCs/>
          <w:color w:val="121212"/>
        </w:rPr>
        <w:t>Gloss</w:t>
      </w:r>
      <w:r w:rsidRPr="000377FE">
        <w:rPr>
          <w:b/>
          <w:bCs/>
        </w:rPr>
        <w:t xml:space="preserve"> Retention (ASTM G53):</w:t>
      </w:r>
      <w:r w:rsidRPr="000377FE">
        <w:t xml:space="preserve"> &gt;50% at 26 weeks (QUV-B).</w:t>
      </w:r>
    </w:p>
    <w:p w14:paraId="028240D5" w14:textId="77777777" w:rsidR="00AB604D" w:rsidRPr="000377FE" w:rsidRDefault="00AB604D" w:rsidP="00E20A5A">
      <w:pPr>
        <w:pStyle w:val="11Head-Bullet"/>
        <w:numPr>
          <w:ilvl w:val="1"/>
          <w:numId w:val="6"/>
        </w:numPr>
      </w:pPr>
      <w:r w:rsidRPr="00777525">
        <w:rPr>
          <w:b/>
          <w:bCs/>
          <w:color w:val="121212"/>
        </w:rPr>
        <w:t>Elongation</w:t>
      </w:r>
      <w:r w:rsidRPr="000377FE">
        <w:rPr>
          <w:b/>
          <w:bCs/>
        </w:rPr>
        <w:t xml:space="preserve"> (ASTM D522):</w:t>
      </w:r>
      <w:r w:rsidRPr="000377FE">
        <w:t xml:space="preserve"> 14%.</w:t>
      </w:r>
    </w:p>
    <w:p w14:paraId="59FDD197" w14:textId="77777777" w:rsidR="00AB604D" w:rsidRPr="000377FE" w:rsidRDefault="00AB604D" w:rsidP="00E20A5A">
      <w:pPr>
        <w:pStyle w:val="11Head-Bullet"/>
        <w:numPr>
          <w:ilvl w:val="1"/>
          <w:numId w:val="6"/>
        </w:numPr>
      </w:pPr>
      <w:r w:rsidRPr="00777525">
        <w:rPr>
          <w:b/>
          <w:bCs/>
          <w:color w:val="121212"/>
        </w:rPr>
        <w:t>Adhesion</w:t>
      </w:r>
      <w:r w:rsidRPr="000377FE">
        <w:rPr>
          <w:b/>
          <w:bCs/>
        </w:rPr>
        <w:t xml:space="preserve"> (ASTM D4541):</w:t>
      </w:r>
      <w:r w:rsidRPr="000377FE">
        <w:t xml:space="preserve"> 2700 PSI.</w:t>
      </w:r>
    </w:p>
    <w:p w14:paraId="14B10DDD" w14:textId="1AFC81B9" w:rsidR="002E039F" w:rsidRPr="005B4F6A" w:rsidRDefault="00AB604D" w:rsidP="00E20A5A">
      <w:pPr>
        <w:pStyle w:val="11Head-Bullet"/>
        <w:numPr>
          <w:ilvl w:val="1"/>
          <w:numId w:val="6"/>
        </w:numPr>
        <w:rPr>
          <w:rFonts w:ascii="Times New Roman" w:hAnsi="Times New Roman"/>
          <w:sz w:val="24"/>
          <w:szCs w:val="24"/>
        </w:rPr>
      </w:pPr>
      <w:r w:rsidRPr="005B4F6A">
        <w:rPr>
          <w:b/>
          <w:bCs/>
        </w:rPr>
        <w:t>Fire Rating:</w:t>
      </w:r>
      <w:r w:rsidRPr="005B4F6A">
        <w:t xml:space="preserve"> NFPA Class A.</w:t>
      </w:r>
    </w:p>
    <w:p w14:paraId="3D7E22DA" w14:textId="2A467CD0" w:rsidR="005B4F6A" w:rsidRPr="00767FAE" w:rsidRDefault="005B4F6A" w:rsidP="00055CCE">
      <w:pPr>
        <w:pStyle w:val="Heading2"/>
        <w:rPr>
          <w:b/>
          <w:bCs/>
        </w:rPr>
      </w:pPr>
      <w:r w:rsidRPr="00767FAE">
        <w:rPr>
          <w:b/>
          <w:bCs/>
        </w:rPr>
        <w:t>Doors and Access</w:t>
      </w:r>
    </w:p>
    <w:p w14:paraId="2B0BDF1D" w14:textId="77777777" w:rsidR="005B4F6A" w:rsidRPr="005B4F6A" w:rsidRDefault="005B4F6A" w:rsidP="000F36A3">
      <w:pPr>
        <w:pStyle w:val="11Head-Bullet"/>
      </w:pPr>
      <w:r w:rsidRPr="005B4F6A">
        <w:rPr>
          <w:b/>
          <w:color w:val="121212"/>
        </w:rPr>
        <w:t>Design</w:t>
      </w:r>
      <w:r w:rsidRPr="005B4F6A">
        <w:rPr>
          <w:b/>
        </w:rPr>
        <w:t>:</w:t>
      </w:r>
      <w:r w:rsidRPr="005B4F6A">
        <w:t xml:space="preserve"> Doors shall be flush-mounted (no overhanging sills) with heavy-duty stainless steel hinges and 3-point latching, pad-lockable handles.</w:t>
      </w:r>
    </w:p>
    <w:p w14:paraId="017B24D2" w14:textId="77777777" w:rsidR="005B4F6A" w:rsidRPr="005B4F6A" w:rsidRDefault="005B4F6A" w:rsidP="000F36A3">
      <w:pPr>
        <w:pStyle w:val="11Head-Bullet"/>
      </w:pPr>
      <w:r w:rsidRPr="005B4F6A">
        <w:rPr>
          <w:b/>
        </w:rPr>
        <w:t>Safety Features:</w:t>
      </w:r>
      <w:r w:rsidRPr="005B4F6A">
        <w:t xml:space="preserve"> Doors providing access to high-voltage compartments shall include door stays and drip shields. Doors shall be removable only when in the open position.</w:t>
      </w:r>
    </w:p>
    <w:p w14:paraId="6C403220" w14:textId="7092920F" w:rsidR="005B4F6A" w:rsidRPr="005B4F6A" w:rsidRDefault="005B4F6A" w:rsidP="000F36A3">
      <w:pPr>
        <w:pStyle w:val="11Head-Bullet"/>
      </w:pPr>
      <w:r w:rsidRPr="005B4F6A">
        <w:rPr>
          <w:b/>
          <w:color w:val="121212"/>
        </w:rPr>
        <w:t>Internal</w:t>
      </w:r>
      <w:r w:rsidRPr="005B4F6A">
        <w:rPr>
          <w:b/>
        </w:rPr>
        <w:t xml:space="preserve"> Barriers:</w:t>
      </w:r>
      <w:r w:rsidRPr="005B4F6A">
        <w:t xml:space="preserve"> The load-interrupter switch compartment </w:t>
      </w:r>
      <w:r w:rsidR="0094677E">
        <w:t xml:space="preserve">(if provided) </w:t>
      </w:r>
      <w:r w:rsidRPr="005B4F6A">
        <w:t>shall feature an internal hinged protective barrier to prevent inadvertent contact with live terminals while allowing access to main fuses</w:t>
      </w:r>
      <w:r w:rsidR="0094677E">
        <w:t xml:space="preserve"> (if provided)</w:t>
      </w:r>
      <w:r w:rsidRPr="005B4F6A">
        <w:t>.</w:t>
      </w:r>
    </w:p>
    <w:p w14:paraId="5B93758B" w14:textId="12E0B867" w:rsidR="00B16F28" w:rsidRDefault="005B4F6A" w:rsidP="00B16F28">
      <w:pPr>
        <w:pStyle w:val="11Head-Bullet"/>
      </w:pPr>
      <w:r w:rsidRPr="005B4F6A">
        <w:rPr>
          <w:b/>
          <w:color w:val="121212"/>
        </w:rPr>
        <w:t>Viewing</w:t>
      </w:r>
      <w:r w:rsidRPr="005B4F6A">
        <w:rPr>
          <w:b/>
        </w:rPr>
        <w:t xml:space="preserve"> Windows:</w:t>
      </w:r>
      <w:r w:rsidRPr="005B4F6A">
        <w:t xml:space="preserve"> </w:t>
      </w:r>
      <w:r w:rsidR="00B16F28" w:rsidRPr="00D3277B">
        <w:rPr>
          <w:b/>
          <w:bCs/>
          <w:color w:val="121212"/>
        </w:rPr>
        <w:t>Viewing Windows:</w:t>
      </w:r>
      <w:r w:rsidR="00B16F28" w:rsidRPr="00D3277B">
        <w:rPr>
          <w:bCs/>
          <w:color w:val="121212"/>
        </w:rPr>
        <w:t xml:space="preserve"> Impact-resistant, UV-resistant, wide-view windows shall be provided, as applicable, for the interrupter switch compartment to verify blade position, the fuse compartment to verify fuse status, and the capacitor </w:t>
      </w:r>
      <w:r w:rsidR="00B16F28">
        <w:rPr>
          <w:bCs/>
          <w:color w:val="121212"/>
        </w:rPr>
        <w:t>and reactor compartment</w:t>
      </w:r>
      <w:r w:rsidR="00B16F28" w:rsidRPr="00D3277B">
        <w:rPr>
          <w:bCs/>
          <w:color w:val="121212"/>
        </w:rPr>
        <w:t xml:space="preserve"> to verify blown-fuse indicator status and switching device position/status.</w:t>
      </w:r>
    </w:p>
    <w:p w14:paraId="44871534" w14:textId="4628D3BD" w:rsidR="005B4F6A" w:rsidRPr="00767FAE" w:rsidRDefault="005B4F6A" w:rsidP="00055CCE">
      <w:pPr>
        <w:pStyle w:val="Heading2"/>
        <w:rPr>
          <w:b/>
          <w:bCs/>
        </w:rPr>
      </w:pPr>
      <w:r w:rsidRPr="00767FAE">
        <w:rPr>
          <w:b/>
          <w:bCs/>
        </w:rPr>
        <w:lastRenderedPageBreak/>
        <w:t>Ventilation and Thermal Management</w:t>
      </w:r>
    </w:p>
    <w:p w14:paraId="0D4541B0" w14:textId="77777777" w:rsidR="005B4F6A" w:rsidRPr="005B4F6A" w:rsidRDefault="005B4F6A" w:rsidP="000F36A3">
      <w:pPr>
        <w:pStyle w:val="11Head-Bullet"/>
      </w:pPr>
      <w:r w:rsidRPr="005B4F6A">
        <w:rPr>
          <w:b/>
          <w:color w:val="121212"/>
        </w:rPr>
        <w:t>Louvers</w:t>
      </w:r>
      <w:r w:rsidRPr="005B4F6A">
        <w:rPr>
          <w:b/>
        </w:rPr>
        <w:t xml:space="preserve"> and Filtration:</w:t>
      </w:r>
      <w:r w:rsidRPr="005B4F6A">
        <w:t xml:space="preserve"> Ventilation louvers shall be equipped with 2-inch MERV 5 fiberglass filters. Filters must be replaceable while the bank is energized without exposure to live parts.</w:t>
      </w:r>
    </w:p>
    <w:p w14:paraId="34F5AF97" w14:textId="77777777" w:rsidR="005B4F6A" w:rsidRPr="005B4F6A" w:rsidRDefault="005B4F6A" w:rsidP="000F36A3">
      <w:pPr>
        <w:pStyle w:val="11Head-Bullet"/>
      </w:pPr>
      <w:r w:rsidRPr="005B4F6A">
        <w:rPr>
          <w:b/>
          <w:color w:val="121212"/>
        </w:rPr>
        <w:t>Hardware</w:t>
      </w:r>
      <w:r w:rsidRPr="005B4F6A">
        <w:rPr>
          <w:b/>
        </w:rPr>
        <w:t>:</w:t>
      </w:r>
      <w:r w:rsidRPr="005B4F6A">
        <w:t xml:space="preserve"> All fasteners and hardware, internal and external, shall be stainless steel. No externally accessible hardware shall support high-voltage components or operating mechanisms.</w:t>
      </w:r>
    </w:p>
    <w:p w14:paraId="505E059A" w14:textId="77777777" w:rsidR="005B4F6A" w:rsidRPr="005B4F6A" w:rsidRDefault="005B4F6A" w:rsidP="000F36A3">
      <w:pPr>
        <w:pStyle w:val="11Head-Bullet"/>
      </w:pPr>
      <w:r w:rsidRPr="005B4F6A">
        <w:rPr>
          <w:b/>
          <w:color w:val="121212"/>
        </w:rPr>
        <w:t>Environmental</w:t>
      </w:r>
      <w:r w:rsidRPr="005B4F6A">
        <w:rPr>
          <w:b/>
        </w:rPr>
        <w:t xml:space="preserve"> Control:</w:t>
      </w:r>
      <w:r w:rsidRPr="005B4F6A">
        <w:t xml:space="preserve"> Thermostatically controlled strip heaters shall be provided in all non-ventilated compartments. Forced-air cooling fans shall be provided when required by thermal design.</w:t>
      </w:r>
    </w:p>
    <w:p w14:paraId="4209C54E" w14:textId="77777777" w:rsidR="005B4F6A" w:rsidRDefault="005B4F6A" w:rsidP="000F36A3">
      <w:pPr>
        <w:pStyle w:val="11Head-Bullet"/>
      </w:pPr>
      <w:r w:rsidRPr="005B4F6A">
        <w:rPr>
          <w:b/>
          <w:color w:val="121212"/>
        </w:rPr>
        <w:t>Calculations</w:t>
      </w:r>
      <w:r w:rsidRPr="005B4F6A">
        <w:rPr>
          <w:b/>
        </w:rPr>
        <w:t>:</w:t>
      </w:r>
      <w:r w:rsidRPr="005B4F6A">
        <w:t xml:space="preserve"> Temperature rise calculations shall be provided by the manufacturer upon request.</w:t>
      </w:r>
    </w:p>
    <w:p w14:paraId="0BE30B72" w14:textId="4175FC2E" w:rsidR="005B4F6A" w:rsidRPr="00767FAE" w:rsidRDefault="005B4F6A" w:rsidP="00055CCE">
      <w:pPr>
        <w:pStyle w:val="Heading2"/>
        <w:rPr>
          <w:b/>
          <w:bCs/>
        </w:rPr>
      </w:pPr>
      <w:r w:rsidRPr="00767FAE">
        <w:rPr>
          <w:b/>
          <w:bCs/>
        </w:rPr>
        <w:t>Grounding and Labeling</w:t>
      </w:r>
    </w:p>
    <w:p w14:paraId="203ABA2E" w14:textId="77777777" w:rsidR="005B4F6A" w:rsidRPr="005B4F6A" w:rsidRDefault="005B4F6A" w:rsidP="000F36A3">
      <w:pPr>
        <w:pStyle w:val="11Head-Bullet"/>
      </w:pPr>
      <w:r w:rsidRPr="005B4F6A">
        <w:rPr>
          <w:b/>
          <w:color w:val="121212"/>
        </w:rPr>
        <w:t>Ground</w:t>
      </w:r>
      <w:r w:rsidRPr="005B4F6A">
        <w:rPr>
          <w:b/>
        </w:rPr>
        <w:t xml:space="preserve"> Bus:</w:t>
      </w:r>
      <w:r w:rsidRPr="005B4F6A">
        <w:t xml:space="preserve"> A continuous 1/4" x 2" tin-plated copper ground bus shall span the full width of the enclosure.</w:t>
      </w:r>
    </w:p>
    <w:p w14:paraId="08053F2C" w14:textId="453DC1CA" w:rsidR="005B4F6A" w:rsidRPr="005B4F6A" w:rsidRDefault="005B4F6A" w:rsidP="000F36A3">
      <w:pPr>
        <w:pStyle w:val="11Head-Bullet"/>
      </w:pPr>
      <w:r w:rsidRPr="005B4F6A">
        <w:rPr>
          <w:b/>
          <w:color w:val="121212"/>
        </w:rPr>
        <w:t>Safety</w:t>
      </w:r>
      <w:r w:rsidRPr="005B4F6A">
        <w:rPr>
          <w:b/>
        </w:rPr>
        <w:t xml:space="preserve"> Labels:</w:t>
      </w:r>
      <w:r w:rsidRPr="005B4F6A">
        <w:t xml:space="preserve"> Self-adhesive vinyl warning signs complying with ANSI Z535.4-R2023 shall be applied to each door.</w:t>
      </w:r>
    </w:p>
    <w:p w14:paraId="4C5520E6" w14:textId="77777777" w:rsidR="005B4F6A" w:rsidRPr="005B4F6A" w:rsidRDefault="005B4F6A" w:rsidP="000F36A3">
      <w:pPr>
        <w:pStyle w:val="11Head-Bullet"/>
      </w:pPr>
      <w:r w:rsidRPr="005B4F6A">
        <w:rPr>
          <w:b/>
          <w:color w:val="121212"/>
        </w:rPr>
        <w:t>Nameplate</w:t>
      </w:r>
      <w:r w:rsidRPr="005B4F6A">
        <w:rPr>
          <w:b/>
        </w:rPr>
        <w:t>:</w:t>
      </w:r>
      <w:r w:rsidRPr="005B4F6A">
        <w:t xml:space="preserve"> A riveted, anodized steel nameplate shall be provided, including:</w:t>
      </w:r>
    </w:p>
    <w:p w14:paraId="773737CA" w14:textId="76A869B9" w:rsidR="00E11110" w:rsidRDefault="00E11110" w:rsidP="00E20A5A">
      <w:pPr>
        <w:pStyle w:val="11Head-Bullet"/>
        <w:numPr>
          <w:ilvl w:val="1"/>
          <w:numId w:val="6"/>
        </w:numPr>
      </w:pPr>
      <w:r>
        <w:t>Simplified one-line diagram of each branch</w:t>
      </w:r>
    </w:p>
    <w:p w14:paraId="78DBEDF2" w14:textId="35ECDB0A" w:rsidR="005B4F6A" w:rsidRPr="005B4F6A" w:rsidRDefault="005B4F6A" w:rsidP="00E20A5A">
      <w:pPr>
        <w:pStyle w:val="11Head-Bullet"/>
        <w:numPr>
          <w:ilvl w:val="1"/>
          <w:numId w:val="6"/>
        </w:numPr>
      </w:pPr>
      <w:r w:rsidRPr="005B4F6A">
        <w:t>Nominal and Maximum System Voltage</w:t>
      </w:r>
    </w:p>
    <w:p w14:paraId="5364931D" w14:textId="08B52382" w:rsidR="005D7D08" w:rsidRDefault="005D7D08" w:rsidP="00E20A5A">
      <w:pPr>
        <w:pStyle w:val="11Head-Bullet"/>
        <w:numPr>
          <w:ilvl w:val="1"/>
          <w:numId w:val="6"/>
        </w:numPr>
      </w:pPr>
      <w:r>
        <w:t>Frequency</w:t>
      </w:r>
    </w:p>
    <w:p w14:paraId="28444750" w14:textId="2DEE4B16" w:rsidR="005B4F6A" w:rsidRPr="005B4F6A" w:rsidRDefault="00336A18" w:rsidP="00E20A5A">
      <w:pPr>
        <w:pStyle w:val="11Head-Bullet"/>
        <w:numPr>
          <w:ilvl w:val="1"/>
          <w:numId w:val="6"/>
        </w:numPr>
      </w:pPr>
      <w:r>
        <w:t xml:space="preserve">Withstand and </w:t>
      </w:r>
      <w:r w:rsidR="005B4F6A" w:rsidRPr="005B4F6A">
        <w:t>BIL Rating</w:t>
      </w:r>
    </w:p>
    <w:p w14:paraId="5E709F34" w14:textId="245E650E" w:rsidR="005B4F6A" w:rsidRDefault="00336A18" w:rsidP="00E20A5A">
      <w:pPr>
        <w:pStyle w:val="11Head-Bullet"/>
        <w:numPr>
          <w:ilvl w:val="1"/>
          <w:numId w:val="6"/>
        </w:numPr>
      </w:pPr>
      <w:r>
        <w:t xml:space="preserve">Total </w:t>
      </w:r>
      <w:r w:rsidR="00A372C7" w:rsidRPr="00C33725">
        <w:t>Reactive Power Rating</w:t>
      </w:r>
      <w:r w:rsidR="007917AE">
        <w:t xml:space="preserve"> of Filter System</w:t>
      </w:r>
    </w:p>
    <w:p w14:paraId="1AAAEFDB" w14:textId="7E72F1C8" w:rsidR="00336A18" w:rsidRDefault="00336A18" w:rsidP="00E20A5A">
      <w:pPr>
        <w:pStyle w:val="11Head-Bullet"/>
        <w:numPr>
          <w:ilvl w:val="1"/>
          <w:numId w:val="6"/>
        </w:numPr>
      </w:pPr>
      <w:r>
        <w:t xml:space="preserve">Individual </w:t>
      </w:r>
      <w:r w:rsidR="00B57BDA">
        <w:t>Branch Ratings</w:t>
      </w:r>
    </w:p>
    <w:p w14:paraId="4BE05099" w14:textId="634780D0" w:rsidR="00B57BDA" w:rsidRDefault="009125B1" w:rsidP="00B57BDA">
      <w:pPr>
        <w:pStyle w:val="11Head-Bullet"/>
        <w:numPr>
          <w:ilvl w:val="2"/>
          <w:numId w:val="6"/>
        </w:numPr>
      </w:pPr>
      <w:r>
        <w:t xml:space="preserve">Filter Type (Notch, C-HP, and HP), </w:t>
      </w:r>
      <w:r w:rsidR="00B57BDA">
        <w:t>Tuning Point</w:t>
      </w:r>
      <w:r w:rsidR="00E30E21">
        <w:t>, Damping Factor</w:t>
      </w:r>
    </w:p>
    <w:p w14:paraId="3633EEE7" w14:textId="1AAC155E" w:rsidR="00B56D6A" w:rsidRDefault="00B56D6A" w:rsidP="00B56D6A">
      <w:pPr>
        <w:pStyle w:val="11Head-Bullet"/>
        <w:numPr>
          <w:ilvl w:val="2"/>
          <w:numId w:val="6"/>
        </w:numPr>
      </w:pPr>
      <w:r>
        <w:t>Reactor Ratings (Inductance, Reactance, Current Spectrum Ratings)</w:t>
      </w:r>
    </w:p>
    <w:p w14:paraId="0160E525" w14:textId="77777777" w:rsidR="00B56D6A" w:rsidRDefault="00B56D6A" w:rsidP="00B56D6A">
      <w:pPr>
        <w:pStyle w:val="11Head-Bullet"/>
        <w:numPr>
          <w:ilvl w:val="2"/>
          <w:numId w:val="6"/>
        </w:numPr>
      </w:pPr>
      <w:r>
        <w:t>High-Pass Resistor Ratings (Ohms, Power Rating, Current Rating)</w:t>
      </w:r>
    </w:p>
    <w:p w14:paraId="229003CC" w14:textId="30B7E3C9" w:rsidR="00B57BDA" w:rsidRDefault="00B57BDA" w:rsidP="00B57BDA">
      <w:pPr>
        <w:pStyle w:val="11Head-Bullet"/>
        <w:numPr>
          <w:ilvl w:val="2"/>
          <w:numId w:val="6"/>
        </w:numPr>
      </w:pPr>
      <w:r>
        <w:t>Capacitor ratings</w:t>
      </w:r>
      <w:r w:rsidR="00D20CEE">
        <w:t xml:space="preserve"> (kvar, frequency, voltage)</w:t>
      </w:r>
    </w:p>
    <w:p w14:paraId="1861F6E4" w14:textId="04162CDD" w:rsidR="00643D17" w:rsidRDefault="00643D17" w:rsidP="00B57BDA">
      <w:pPr>
        <w:pStyle w:val="11Head-Bullet"/>
        <w:numPr>
          <w:ilvl w:val="2"/>
          <w:numId w:val="6"/>
        </w:numPr>
      </w:pPr>
      <w:r>
        <w:t>Fuse ratings</w:t>
      </w:r>
    </w:p>
    <w:p w14:paraId="3C8580C6" w14:textId="0C93894B" w:rsidR="00D1615B" w:rsidRPr="00D1615B" w:rsidRDefault="00D1615B" w:rsidP="00D1615B">
      <w:pPr>
        <w:pStyle w:val="Heading1"/>
      </w:pPr>
      <w:r w:rsidRPr="00D1615B">
        <w:t>LOAD INTERRUPTER / AIR DISCONNECT SWITCH</w:t>
      </w:r>
    </w:p>
    <w:p w14:paraId="68A9F0A3" w14:textId="1BFFBE62" w:rsidR="00D1615B" w:rsidRDefault="00D1615B" w:rsidP="00055CCE">
      <w:pPr>
        <w:pStyle w:val="Heading2"/>
      </w:pPr>
      <w:r w:rsidRPr="00D1615B">
        <w:rPr>
          <w:b/>
        </w:rPr>
        <w:t>Switching Technology</w:t>
      </w:r>
      <w:r>
        <w:rPr>
          <w:b/>
        </w:rPr>
        <w:br/>
      </w:r>
      <w:r w:rsidRPr="00D1615B">
        <w:t xml:space="preserve">The shunt </w:t>
      </w:r>
      <w:r w:rsidR="009F291E">
        <w:t>filter bank</w:t>
      </w:r>
      <w:r w:rsidRPr="00D1615B">
        <w:t xml:space="preserve"> shall be equipped with an external, chain-operated load-interrupting switch. Current interruption shall be achieved through a dual arc-extinguishing system utilizing a combination of auto-pneumatic air-blast and hard-gas nozzle principles.</w:t>
      </w:r>
    </w:p>
    <w:p w14:paraId="5A818CB5" w14:textId="272F3068" w:rsidR="00D1615B" w:rsidRPr="00767FAE" w:rsidRDefault="00D1615B" w:rsidP="00055CCE">
      <w:pPr>
        <w:pStyle w:val="Heading2"/>
        <w:rPr>
          <w:b/>
          <w:bCs/>
        </w:rPr>
      </w:pPr>
      <w:r w:rsidRPr="00767FAE">
        <w:rPr>
          <w:b/>
          <w:bCs/>
        </w:rPr>
        <w:t>Electrical Ratings</w:t>
      </w:r>
    </w:p>
    <w:p w14:paraId="36FFE062" w14:textId="77777777" w:rsidR="00D1615B" w:rsidRPr="00D1615B" w:rsidRDefault="00D1615B" w:rsidP="000F36A3">
      <w:pPr>
        <w:pStyle w:val="11Head-Bullet"/>
      </w:pPr>
      <w:r w:rsidRPr="006C3C24">
        <w:rPr>
          <w:b/>
          <w:bCs/>
          <w:color w:val="121212"/>
        </w:rPr>
        <w:t>Continuous</w:t>
      </w:r>
      <w:r w:rsidRPr="006C3C24">
        <w:rPr>
          <w:b/>
          <w:bCs/>
        </w:rPr>
        <w:t xml:space="preserve"> C</w:t>
      </w:r>
      <w:r w:rsidRPr="00D1615B">
        <w:rPr>
          <w:b/>
          <w:bCs/>
        </w:rPr>
        <w:t>urrent:</w:t>
      </w:r>
      <w:r w:rsidRPr="00D1615B">
        <w:t xml:space="preserve"> The switch shall be rated for a minimum of 135% of the bank's nominal current rating.</w:t>
      </w:r>
    </w:p>
    <w:p w14:paraId="114FE745" w14:textId="77777777" w:rsidR="00D1615B" w:rsidRPr="00D1615B" w:rsidRDefault="00D1615B" w:rsidP="000F36A3">
      <w:pPr>
        <w:pStyle w:val="11Head-Bullet"/>
      </w:pPr>
      <w:r w:rsidRPr="006C3C24">
        <w:rPr>
          <w:b/>
          <w:bCs/>
          <w:color w:val="121212"/>
        </w:rPr>
        <w:t>Momentary</w:t>
      </w:r>
      <w:r w:rsidRPr="006C3C24">
        <w:rPr>
          <w:b/>
          <w:bCs/>
        </w:rPr>
        <w:t xml:space="preserve"> </w:t>
      </w:r>
      <w:r w:rsidRPr="00D1615B">
        <w:rPr>
          <w:b/>
          <w:bCs/>
        </w:rPr>
        <w:t>Rating:</w:t>
      </w:r>
      <w:r w:rsidRPr="00D1615B">
        <w:t xml:space="preserve"> The switch shall have a 40-kA RMS asymmetrical momentary (withstand) rating.</w:t>
      </w:r>
    </w:p>
    <w:p w14:paraId="41680979" w14:textId="2E221773" w:rsidR="00D1615B" w:rsidRPr="00767FAE" w:rsidRDefault="00D1615B" w:rsidP="00055CCE">
      <w:pPr>
        <w:pStyle w:val="Heading2"/>
        <w:rPr>
          <w:b/>
          <w:bCs/>
        </w:rPr>
      </w:pPr>
      <w:r w:rsidRPr="00767FAE">
        <w:rPr>
          <w:b/>
          <w:bCs/>
        </w:rPr>
        <w:t>Safety and Interlocking</w:t>
      </w:r>
    </w:p>
    <w:p w14:paraId="4F4044C4" w14:textId="493763C1" w:rsidR="00D1615B" w:rsidRPr="00D1615B" w:rsidRDefault="00D1615B" w:rsidP="000F36A3">
      <w:pPr>
        <w:pStyle w:val="11Head-Bullet"/>
      </w:pPr>
      <w:r w:rsidRPr="00D1615B">
        <w:rPr>
          <w:b/>
          <w:bCs/>
        </w:rPr>
        <w:t>Operational Interlock:</w:t>
      </w:r>
      <w:r w:rsidRPr="00D1615B">
        <w:t xml:space="preserve"> The air disconnect switch shall be mechanically or electrically interlocked with the vacuum switches</w:t>
      </w:r>
      <w:r w:rsidR="000A57EF">
        <w:t>/B</w:t>
      </w:r>
      <w:r w:rsidR="003F0AED">
        <w:t>reaker</w:t>
      </w:r>
      <w:r w:rsidRPr="00D1615B">
        <w:t xml:space="preserve"> to prevent the disconnect from being operated while the reactor stage(s) are energized.</w:t>
      </w:r>
    </w:p>
    <w:p w14:paraId="6F9AFCED" w14:textId="77777777" w:rsidR="00D1615B" w:rsidRPr="00D1615B" w:rsidRDefault="00D1615B" w:rsidP="000F36A3">
      <w:pPr>
        <w:pStyle w:val="11Head-Bullet"/>
      </w:pPr>
      <w:r w:rsidRPr="00D1615B">
        <w:rPr>
          <w:b/>
          <w:bCs/>
        </w:rPr>
        <w:t>Security:</w:t>
      </w:r>
      <w:r w:rsidRPr="00D1615B">
        <w:t xml:space="preserve"> The operating mechanism shall be padlockable in both the fully open and fully closed positions.</w:t>
      </w:r>
    </w:p>
    <w:p w14:paraId="27E5F541" w14:textId="500E5721" w:rsidR="00D1615B" w:rsidRPr="00767FAE" w:rsidRDefault="00D1615B" w:rsidP="00055CCE">
      <w:pPr>
        <w:pStyle w:val="Heading2"/>
        <w:rPr>
          <w:b/>
          <w:bCs/>
        </w:rPr>
      </w:pPr>
      <w:r w:rsidRPr="00767FAE">
        <w:rPr>
          <w:b/>
          <w:bCs/>
        </w:rPr>
        <w:t>Enclosure and Compartmentalization</w:t>
      </w:r>
    </w:p>
    <w:p w14:paraId="3BFE7A7B" w14:textId="77777777" w:rsidR="00D1615B" w:rsidRPr="00D1615B" w:rsidRDefault="00D1615B" w:rsidP="000F36A3">
      <w:pPr>
        <w:pStyle w:val="11Head-Bullet"/>
      </w:pPr>
      <w:r w:rsidRPr="00D1615B">
        <w:rPr>
          <w:b/>
          <w:bCs/>
        </w:rPr>
        <w:t>Isolation:</w:t>
      </w:r>
      <w:r w:rsidRPr="00D1615B">
        <w:t xml:space="preserve"> The air disconnect switch shall be housed in a dedicated compartment, physically isolated from the shunt reactor and low-voltage control compartments by grounded steel barriers.</w:t>
      </w:r>
    </w:p>
    <w:p w14:paraId="2CAD9F8B" w14:textId="44A9C6ED" w:rsidR="00D1615B" w:rsidRPr="00D1615B" w:rsidRDefault="00D1615B" w:rsidP="000F36A3">
      <w:pPr>
        <w:pStyle w:val="11Head-Bullet"/>
      </w:pPr>
      <w:r w:rsidRPr="00D1615B">
        <w:rPr>
          <w:b/>
          <w:bCs/>
        </w:rPr>
        <w:lastRenderedPageBreak/>
        <w:t>Secondary Protection:</w:t>
      </w:r>
      <w:r w:rsidRPr="00D1615B">
        <w:t xml:space="preserve"> In addition to the exterior enclosure door, an internal protective hinged barrier shall be provided. This screen must be in place to prevent accidental contact with live parts when the exterior door is opened.</w:t>
      </w:r>
    </w:p>
    <w:p w14:paraId="4F325902" w14:textId="77777777" w:rsidR="000B759B" w:rsidRPr="00FF351C" w:rsidRDefault="000B759B" w:rsidP="000B759B">
      <w:pPr>
        <w:pStyle w:val="Heading1"/>
      </w:pPr>
      <w:r w:rsidRPr="00FF351C">
        <w:t>GROUND SWITCH</w:t>
      </w:r>
    </w:p>
    <w:p w14:paraId="598D8DC6" w14:textId="77777777" w:rsidR="000B759B" w:rsidRPr="00FF351C" w:rsidRDefault="000B759B" w:rsidP="00055CCE">
      <w:pPr>
        <w:pStyle w:val="Heading2"/>
      </w:pPr>
      <w:r w:rsidRPr="00FF351C">
        <w:rPr>
          <w:b/>
        </w:rPr>
        <w:t>Functional Requirements</w:t>
      </w:r>
      <w:r>
        <w:rPr>
          <w:b/>
        </w:rPr>
        <w:br/>
      </w:r>
      <w:r w:rsidRPr="00FF351C">
        <w:t>An externally operated ground switch shall be provided to effectively ground the load-side terminals of the air-interrupter switch. This ensures that the shunt reactor and associated internal components are discharged and maintained at ground potential during maintenance.</w:t>
      </w:r>
    </w:p>
    <w:p w14:paraId="2684BBEC" w14:textId="77777777" w:rsidR="000B759B" w:rsidRPr="00767FAE" w:rsidRDefault="000B759B" w:rsidP="00055CCE">
      <w:pPr>
        <w:pStyle w:val="Heading2"/>
        <w:rPr>
          <w:b/>
          <w:bCs/>
        </w:rPr>
      </w:pPr>
      <w:r w:rsidRPr="00767FAE">
        <w:rPr>
          <w:b/>
          <w:bCs/>
        </w:rPr>
        <w:t>Security and Compliance</w:t>
      </w:r>
    </w:p>
    <w:p w14:paraId="4D2A2227" w14:textId="77777777" w:rsidR="000B759B" w:rsidRPr="00FF351C" w:rsidRDefault="000B759B" w:rsidP="000F36A3">
      <w:pPr>
        <w:pStyle w:val="11Head-Bullet"/>
      </w:pPr>
      <w:r w:rsidRPr="00A3347A">
        <w:rPr>
          <w:b/>
          <w:bCs/>
          <w:color w:val="121212"/>
        </w:rPr>
        <w:t>Locking</w:t>
      </w:r>
      <w:r w:rsidRPr="00A3347A">
        <w:rPr>
          <w:b/>
          <w:bCs/>
        </w:rPr>
        <w:t>:</w:t>
      </w:r>
      <w:r w:rsidRPr="00FF351C">
        <w:t xml:space="preserve"> The ground switch operating mechanism shall be padlockable in both the fully open and fully closed positions.</w:t>
      </w:r>
    </w:p>
    <w:p w14:paraId="646D0EB4" w14:textId="77777777" w:rsidR="000B759B" w:rsidRPr="00A3347A" w:rsidRDefault="000B759B" w:rsidP="000F36A3">
      <w:pPr>
        <w:pStyle w:val="11Head-Bullet"/>
        <w:rPr>
          <w:color w:val="121212"/>
        </w:rPr>
      </w:pPr>
      <w:r w:rsidRPr="00A3347A">
        <w:rPr>
          <w:b/>
          <w:bCs/>
          <w:color w:val="121212"/>
        </w:rPr>
        <w:t>Standards:</w:t>
      </w:r>
      <w:r w:rsidRPr="00A3347A">
        <w:rPr>
          <w:color w:val="121212"/>
        </w:rPr>
        <w:t xml:space="preserve"> The switch shall be designed and tested in accordance with applicable ANSI/IEEE standards. Certified test reports shall be furnished to the owner upon request.</w:t>
      </w:r>
    </w:p>
    <w:p w14:paraId="46D9F5BE" w14:textId="77777777" w:rsidR="000B759B" w:rsidRDefault="000B759B" w:rsidP="00055CCE">
      <w:pPr>
        <w:pStyle w:val="Heading2"/>
      </w:pPr>
      <w:r w:rsidRPr="00C374AB">
        <w:rPr>
          <w:b/>
          <w:bCs/>
        </w:rPr>
        <w:t xml:space="preserve">Safety </w:t>
      </w:r>
      <w:r w:rsidRPr="00C374AB">
        <w:rPr>
          <w:b/>
          <w:bCs/>
          <w:color w:val="auto"/>
        </w:rPr>
        <w:t>Interlocking</w:t>
      </w:r>
      <w:r>
        <w:rPr>
          <w:b/>
          <w:bCs/>
        </w:rPr>
        <w:br/>
      </w:r>
      <w:r w:rsidRPr="00A3347A">
        <w:t>The ground switch shall be mechanically interlocked with the main air-interrupter switch</w:t>
      </w:r>
      <w:r w:rsidRPr="00FF351C">
        <w:t>. This interlock must positively prevent the ground switch from being closed whenever the air-interrupter switch is in the closed position, and conversely, prevent the air-interrupter switch from closing while the ground switch is engaged.</w:t>
      </w:r>
    </w:p>
    <w:p w14:paraId="236CA6AA" w14:textId="77777777" w:rsidR="009F496E" w:rsidRDefault="009F496E" w:rsidP="009F496E">
      <w:pPr>
        <w:pStyle w:val="Heading1"/>
      </w:pPr>
      <w:r w:rsidRPr="009F496E">
        <w:t>MAIN INCOMING FUSES</w:t>
      </w:r>
    </w:p>
    <w:p w14:paraId="4CD7C2D9" w14:textId="4C593BC2" w:rsidR="00455594" w:rsidRPr="00455594" w:rsidRDefault="00455594" w:rsidP="00055CCE">
      <w:pPr>
        <w:pStyle w:val="Heading2"/>
      </w:pPr>
      <w:r w:rsidRPr="00455594">
        <w:rPr>
          <w:b/>
          <w:bCs/>
        </w:rPr>
        <w:t>Functional Configuration</w:t>
      </w:r>
      <w:r>
        <w:rPr>
          <w:b/>
          <w:bCs/>
        </w:rPr>
        <w:br/>
      </w:r>
      <w:r w:rsidRPr="00455594">
        <w:t>The harmonic filter bank shall be equipped with SIBA medium-voltage current-limiting fuses for primary overcurrent and short-circuit protection.</w:t>
      </w:r>
    </w:p>
    <w:p w14:paraId="0C5AEE1B" w14:textId="77777777" w:rsidR="00455594" w:rsidRPr="00455594" w:rsidRDefault="00455594" w:rsidP="006449E9">
      <w:pPr>
        <w:pStyle w:val="11Head-Bullet"/>
      </w:pPr>
      <w:r w:rsidRPr="00455594">
        <w:rPr>
          <w:b/>
          <w:bCs/>
        </w:rPr>
        <w:t>Placement:</w:t>
      </w:r>
      <w:r w:rsidRPr="00455594">
        <w:t xml:space="preserve"> Fuses shall be electrically positioned on the load side of the air-disconnect switch.</w:t>
      </w:r>
    </w:p>
    <w:p w14:paraId="176D2B2C" w14:textId="77777777" w:rsidR="00455594" w:rsidRPr="00455594" w:rsidRDefault="00455594" w:rsidP="006449E9">
      <w:pPr>
        <w:pStyle w:val="11Head-Bullet"/>
      </w:pPr>
      <w:r w:rsidRPr="00455594">
        <w:rPr>
          <w:b/>
          <w:bCs/>
        </w:rPr>
        <w:t>Current Rating:</w:t>
      </w:r>
      <w:r w:rsidRPr="00455594">
        <w:t xml:space="preserve"> The fuse current rating shall be 1.35 times the total fundamental current rating of the bank.</w:t>
      </w:r>
    </w:p>
    <w:p w14:paraId="521DF4A6" w14:textId="7A8797B7" w:rsidR="00455594" w:rsidRPr="00455594" w:rsidRDefault="00455594" w:rsidP="006449E9">
      <w:pPr>
        <w:pStyle w:val="11Head-Bullet"/>
      </w:pPr>
      <w:r w:rsidRPr="00455594">
        <w:rPr>
          <w:b/>
          <w:bCs/>
        </w:rPr>
        <w:t>Voltage Rating:</w:t>
      </w:r>
      <w:r w:rsidRPr="00455594">
        <w:t xml:space="preserve"> The rated voltage (U</w:t>
      </w:r>
      <w:r w:rsidRPr="00093232">
        <w:rPr>
          <w:vertAlign w:val="subscript"/>
        </w:rPr>
        <w:t>n</w:t>
      </w:r>
      <w:r w:rsidRPr="00455594">
        <w:t>) of the fuse must be the next highest voltage range relative to the capacitor voltage and shall not be less than the maximum power-frequency voltage appearing across the fuse under all operating and fault-clearing conditions. Per IEEE 1036, phase-to-phase voltage shall be used for ungrounded-wye banks and phase-to-ground voltage for grounded-wye banks.</w:t>
      </w:r>
    </w:p>
    <w:p w14:paraId="623F70F3" w14:textId="77777777" w:rsidR="00455594" w:rsidRPr="00455594" w:rsidRDefault="00455594" w:rsidP="006449E9">
      <w:pPr>
        <w:pStyle w:val="11Head-Bullet"/>
      </w:pPr>
      <w:r w:rsidRPr="00455594">
        <w:rPr>
          <w:b/>
          <w:bCs/>
        </w:rPr>
        <w:t>Sizing:</w:t>
      </w:r>
      <w:r w:rsidRPr="00455594">
        <w:t xml:space="preserve"> The main incoming fuses shall be one DIN size larger than the internal capacitor branch fuses to ensure proper coordination and thermal management.</w:t>
      </w:r>
    </w:p>
    <w:p w14:paraId="36DD02A7" w14:textId="4839DC5D" w:rsidR="00455594" w:rsidRPr="00455594" w:rsidRDefault="00455594" w:rsidP="00055CCE">
      <w:pPr>
        <w:pStyle w:val="Heading2"/>
      </w:pPr>
      <w:r w:rsidRPr="00455594">
        <w:rPr>
          <w:b/>
          <w:bCs/>
        </w:rPr>
        <w:t>Remote Monitoring and Blown Fuse Sensing</w:t>
      </w:r>
      <w:r w:rsidR="00FF183E">
        <w:rPr>
          <w:b/>
          <w:bCs/>
        </w:rPr>
        <w:br/>
      </w:r>
      <w:r w:rsidRPr="00455594">
        <w:t>The main incoming fuses shall utilize direct blown fuse sensing for remote monitoring of switching status.</w:t>
      </w:r>
    </w:p>
    <w:p w14:paraId="57BB9B7B" w14:textId="77777777" w:rsidR="00455594" w:rsidRPr="00455594" w:rsidRDefault="00455594" w:rsidP="00FF183E">
      <w:pPr>
        <w:pStyle w:val="11Head-Bullet"/>
      </w:pPr>
      <w:r w:rsidRPr="00455594">
        <w:rPr>
          <w:b/>
          <w:bCs/>
        </w:rPr>
        <w:t>Striker Pin:</w:t>
      </w:r>
      <w:r w:rsidRPr="00455594">
        <w:t xml:space="preserve"> Fuses shall be equipped with an integrated striker pin (force rating of 80N or 120N as appropriate) to provide visual indication of operation and to actuate remote signaling.</w:t>
      </w:r>
    </w:p>
    <w:p w14:paraId="1A357148" w14:textId="77777777" w:rsidR="00AD5BFF" w:rsidRDefault="00455594" w:rsidP="00AD5BFF">
      <w:pPr>
        <w:pStyle w:val="11Head-Bullet"/>
      </w:pPr>
      <w:r w:rsidRPr="00455594">
        <w:rPr>
          <w:b/>
          <w:bCs/>
        </w:rPr>
        <w:t>Microswitch Assembly:</w:t>
      </w:r>
      <w:r w:rsidRPr="00455594">
        <w:t xml:space="preserve"> A SIBA microswitch assembly unit shall be provided for remote monitoring. The assembly shall consist of a flexible Bowden drive that transfers the linear motion of the striker to change-over output contacts rated for 250 VAC, 6A.</w:t>
      </w:r>
    </w:p>
    <w:p w14:paraId="3AC83D38" w14:textId="0F47A562" w:rsidR="00AD5BFF" w:rsidRPr="00AD5BFF" w:rsidRDefault="00AD5BFF" w:rsidP="00AD5BFF">
      <w:pPr>
        <w:pStyle w:val="11Head-Bullet"/>
      </w:pPr>
      <w:r w:rsidRPr="00AD5BFF">
        <w:rPr>
          <w:b/>
          <w:bCs/>
        </w:rPr>
        <w:t>Control System Integration:</w:t>
      </w:r>
      <w:r w:rsidRPr="00AD5BFF">
        <w:t xml:space="preserve"> The microswitch contacts (rated 250 VAC, 6A) shall be wired directly to the control and protection system.</w:t>
      </w:r>
    </w:p>
    <w:p w14:paraId="2EE15BA5" w14:textId="610031AE" w:rsidR="00AD5BFF" w:rsidRPr="00AD5BFF" w:rsidRDefault="00AD5BFF" w:rsidP="00AD5BFF">
      <w:pPr>
        <w:pStyle w:val="11Head-Bullet"/>
      </w:pPr>
      <w:r w:rsidRPr="00AD5BFF">
        <w:rPr>
          <w:b/>
          <w:bCs/>
        </w:rPr>
        <w:t>Unbalance Protection:</w:t>
      </w:r>
      <w:r w:rsidRPr="00AD5BFF">
        <w:t xml:space="preserve"> Upon detection of a blown fuse, the protection system shall automatically take the filter bank offline to prevent damage from unbalance operation and to protect remaining system components.</w:t>
      </w:r>
    </w:p>
    <w:p w14:paraId="5603747F" w14:textId="77777777" w:rsidR="00ED7394" w:rsidRPr="00767FAE" w:rsidRDefault="00455594" w:rsidP="00055CCE">
      <w:pPr>
        <w:pStyle w:val="Heading2"/>
        <w:rPr>
          <w:b/>
          <w:bCs/>
        </w:rPr>
      </w:pPr>
      <w:r w:rsidRPr="00767FAE">
        <w:rPr>
          <w:b/>
          <w:bCs/>
        </w:rPr>
        <w:lastRenderedPageBreak/>
        <w:t>Mounting and Mechanical Requirements</w:t>
      </w:r>
    </w:p>
    <w:p w14:paraId="3992E2C7" w14:textId="7888B3D6" w:rsidR="00455594" w:rsidRPr="00455594" w:rsidRDefault="00455594" w:rsidP="00ED7394">
      <w:pPr>
        <w:pStyle w:val="11Head-Bullet"/>
      </w:pPr>
      <w:r w:rsidRPr="00455594">
        <w:rPr>
          <w:b/>
          <w:bCs/>
        </w:rPr>
        <w:t>Fuse Clips:</w:t>
      </w:r>
      <w:r w:rsidRPr="00455594">
        <w:t xml:space="preserve"> Fuses shall be removable and mounted using silver</w:t>
      </w:r>
      <w:r w:rsidR="002156F5">
        <w:t xml:space="preserve"> or tin</w:t>
      </w:r>
      <w:r w:rsidRPr="00455594">
        <w:t>-plated high-conductivity copper spring contacts to ensure narrow time-current tolerances.</w:t>
      </w:r>
    </w:p>
    <w:p w14:paraId="5312B0A0" w14:textId="5A680BF8" w:rsidR="00455594" w:rsidRPr="00455594" w:rsidRDefault="00455594" w:rsidP="00ED7394">
      <w:pPr>
        <w:pStyle w:val="11Head-Bullet"/>
      </w:pPr>
      <w:r w:rsidRPr="00455594">
        <w:rPr>
          <w:b/>
          <w:bCs/>
        </w:rPr>
        <w:t>Standard Hardware:</w:t>
      </w:r>
      <w:r w:rsidRPr="00455594">
        <w:t xml:space="preserve"> Mounting shall utilize SIBA spring contacts</w:t>
      </w:r>
      <w:r w:rsidR="00A4569E">
        <w:t>.</w:t>
      </w:r>
    </w:p>
    <w:p w14:paraId="0F0EDD25" w14:textId="77777777" w:rsidR="00455594" w:rsidRPr="00455594" w:rsidRDefault="00455594" w:rsidP="00ED7394">
      <w:pPr>
        <w:pStyle w:val="11Head-Bullet"/>
      </w:pPr>
      <w:r w:rsidRPr="00455594">
        <w:rPr>
          <w:b/>
          <w:bCs/>
        </w:rPr>
        <w:t>Sealing:</w:t>
      </w:r>
      <w:r w:rsidRPr="00455594">
        <w:t xml:space="preserve"> The fuses shall feature a reliable sealing system against humidity, dust, and corrosion, utilizing a durable elastic sealing medium and glazed porcelain to ensure tightness against water vapor ingress.</w:t>
      </w:r>
    </w:p>
    <w:p w14:paraId="484680F3" w14:textId="226851BB" w:rsidR="00455594" w:rsidRPr="00767FAE" w:rsidRDefault="00455594" w:rsidP="00055CCE">
      <w:pPr>
        <w:pStyle w:val="Heading2"/>
        <w:rPr>
          <w:b/>
          <w:bCs/>
        </w:rPr>
      </w:pPr>
      <w:r w:rsidRPr="00767FAE">
        <w:rPr>
          <w:b/>
          <w:bCs/>
        </w:rPr>
        <w:t>Safety and Accessibility</w:t>
      </w:r>
    </w:p>
    <w:p w14:paraId="53CDC012" w14:textId="77777777" w:rsidR="00455594" w:rsidRPr="00455594" w:rsidRDefault="00455594" w:rsidP="00A4569E">
      <w:pPr>
        <w:pStyle w:val="11Head-Bullet"/>
      </w:pPr>
      <w:r w:rsidRPr="00455594">
        <w:rPr>
          <w:b/>
          <w:bCs/>
        </w:rPr>
        <w:t>Compartmentalization:</w:t>
      </w:r>
      <w:r w:rsidRPr="00455594">
        <w:t xml:space="preserve"> Fuses shall be housed in a dedicated compartment, physically separated from high-voltage line-side components by grounded metal barriers.</w:t>
      </w:r>
    </w:p>
    <w:p w14:paraId="174E4B8F" w14:textId="77777777" w:rsidR="00455594" w:rsidRPr="00455594" w:rsidRDefault="00455594" w:rsidP="00A4569E">
      <w:pPr>
        <w:pStyle w:val="11Head-Bullet"/>
      </w:pPr>
      <w:r w:rsidRPr="00455594">
        <w:rPr>
          <w:b/>
          <w:bCs/>
        </w:rPr>
        <w:t>Interlocking:</w:t>
      </w:r>
      <w:r w:rsidRPr="00455594">
        <w:t xml:space="preserve"> The compartment shall be designed so that fuses are accessible only when the main air-disconnect switch is locked in the open (de-energized) position.</w:t>
      </w:r>
    </w:p>
    <w:p w14:paraId="31B55855" w14:textId="77777777" w:rsidR="00455594" w:rsidRPr="00455594" w:rsidRDefault="00455594" w:rsidP="00A4569E">
      <w:pPr>
        <w:pStyle w:val="11Head-Bullet"/>
      </w:pPr>
      <w:r w:rsidRPr="00455594">
        <w:rPr>
          <w:b/>
          <w:bCs/>
        </w:rPr>
        <w:t>Visual Inspection:</w:t>
      </w:r>
      <w:r w:rsidRPr="00455594">
        <w:t xml:space="preserve"> Impact and UV-resistant wide-view windows shall be provided on the enclosure door to allow maintenance personnel to verify the status of the striker pin and blown fuse indicator without de-energizing the bank or opening the door.</w:t>
      </w:r>
    </w:p>
    <w:p w14:paraId="20755ECF" w14:textId="581FE044" w:rsidR="0022431E" w:rsidRPr="0022431E" w:rsidRDefault="0022431E" w:rsidP="0022431E">
      <w:pPr>
        <w:pStyle w:val="Heading1"/>
      </w:pPr>
      <w:r w:rsidRPr="0022431E">
        <w:t>MAIN CIRCUIT BREAKER (ALTERNATE)</w:t>
      </w:r>
    </w:p>
    <w:p w14:paraId="51C30078" w14:textId="2643587C" w:rsidR="0022431E" w:rsidRPr="0022431E" w:rsidRDefault="0022431E" w:rsidP="00055CCE">
      <w:pPr>
        <w:pStyle w:val="Heading2"/>
      </w:pPr>
      <w:r w:rsidRPr="0022431E">
        <w:rPr>
          <w:b/>
          <w:bCs/>
        </w:rPr>
        <w:t>General Requirements</w:t>
      </w:r>
      <w:r>
        <w:rPr>
          <w:b/>
          <w:bCs/>
        </w:rPr>
        <w:br/>
      </w:r>
      <w:r w:rsidRPr="0022431E">
        <w:t>For banks with higher reactive power ratings or elevated short-circuit requirements, a medium-voltage vacuum circuit breaker shall be provided as the primary disconnecting and protective device</w:t>
      </w:r>
      <w:r w:rsidR="009F6EA7">
        <w:t xml:space="preserve"> (replaces the air disconnect switch</w:t>
      </w:r>
      <w:r w:rsidR="008722B0">
        <w:t xml:space="preserve"> and main fuses)</w:t>
      </w:r>
      <w:r w:rsidRPr="0022431E">
        <w:t xml:space="preserve">. </w:t>
      </w:r>
      <w:r w:rsidR="00170F66" w:rsidRPr="003440DB">
        <w:t>The breaker shall be an ABB VD4 or ABB ADVAC (spring-actuated), ABB AMVAC  or ABB VD4-CS (magnetically actuated), or an approved equivalent.</w:t>
      </w:r>
    </w:p>
    <w:p w14:paraId="40F5CA32" w14:textId="77777777" w:rsidR="0022431E" w:rsidRPr="0022431E" w:rsidRDefault="0022431E" w:rsidP="008722B0">
      <w:pPr>
        <w:pStyle w:val="11Head-Bullet"/>
      </w:pPr>
      <w:r w:rsidRPr="0022431E">
        <w:rPr>
          <w:b/>
          <w:bCs/>
        </w:rPr>
        <w:t>Execution:</w:t>
      </w:r>
      <w:r w:rsidRPr="0022431E">
        <w:t xml:space="preserve"> The breaker shall be provided in either a </w:t>
      </w:r>
      <w:r w:rsidRPr="0022431E">
        <w:rPr>
          <w:b/>
          <w:bCs/>
        </w:rPr>
        <w:t>Fixed</w:t>
      </w:r>
      <w:r w:rsidRPr="0022431E">
        <w:t xml:space="preserve"> or </w:t>
      </w:r>
      <w:r w:rsidRPr="0022431E">
        <w:rPr>
          <w:b/>
          <w:bCs/>
        </w:rPr>
        <w:t>Drawout (Roll-out)</w:t>
      </w:r>
      <w:r w:rsidRPr="0022431E">
        <w:t xml:space="preserve"> execution as specified in the project data sheets.</w:t>
      </w:r>
    </w:p>
    <w:p w14:paraId="305AA865" w14:textId="77777777" w:rsidR="0022431E" w:rsidRDefault="0022431E" w:rsidP="008722B0">
      <w:pPr>
        <w:pStyle w:val="11Head-Bullet"/>
      </w:pPr>
      <w:r w:rsidRPr="0022431E">
        <w:rPr>
          <w:b/>
          <w:bCs/>
        </w:rPr>
        <w:t>Compartmentalization:</w:t>
      </w:r>
      <w:r w:rsidRPr="0022431E">
        <w:t xml:space="preserve"> The breaker shall be mounted in a dedicated, grounded steel compartment physically isolated from the harmonic filter and low-voltage control sections.</w:t>
      </w:r>
    </w:p>
    <w:p w14:paraId="597F205A" w14:textId="73B18523" w:rsidR="0022431E" w:rsidRPr="0022431E" w:rsidRDefault="00A93936" w:rsidP="00055CCE">
      <w:pPr>
        <w:pStyle w:val="Heading2"/>
      </w:pPr>
      <w:r w:rsidRPr="00683E3B">
        <w:rPr>
          <w:b/>
          <w:bCs/>
        </w:rPr>
        <w:t>Drawout</w:t>
      </w:r>
      <w:r w:rsidR="0022431E" w:rsidRPr="00683E3B">
        <w:rPr>
          <w:b/>
          <w:bCs/>
        </w:rPr>
        <w:t xml:space="preserve"> (Roll-out) Construction</w:t>
      </w:r>
      <w:r w:rsidR="00774464" w:rsidRPr="00683E3B">
        <w:rPr>
          <w:b/>
          <w:bCs/>
        </w:rPr>
        <w:br/>
      </w:r>
      <w:r w:rsidR="0022431E" w:rsidRPr="0022431E">
        <w:t xml:space="preserve">If a </w:t>
      </w:r>
      <w:r w:rsidRPr="0022431E">
        <w:t>draw out</w:t>
      </w:r>
      <w:r w:rsidR="0022431E" w:rsidRPr="0022431E">
        <w:t xml:space="preserve">/roll-out breaker is specified, the following requirements </w:t>
      </w:r>
      <w:r w:rsidR="00866AA6">
        <w:t xml:space="preserve">shall </w:t>
      </w:r>
      <w:r w:rsidR="0022431E" w:rsidRPr="0022431E">
        <w:t>apply:</w:t>
      </w:r>
    </w:p>
    <w:p w14:paraId="7D0905F7" w14:textId="77777777" w:rsidR="0022431E" w:rsidRPr="0022431E" w:rsidRDefault="0022431E" w:rsidP="00683E3B">
      <w:pPr>
        <w:pStyle w:val="11Head-Bullet"/>
      </w:pPr>
      <w:r w:rsidRPr="0022431E">
        <w:rPr>
          <w:b/>
          <w:bCs/>
        </w:rPr>
        <w:t>Substation Integration:</w:t>
      </w:r>
      <w:r w:rsidRPr="0022431E">
        <w:t xml:space="preserve"> The breaker shall be a horizontal drawout type capable of being rolled directly onto a substation floor, including surfaces with stone cover.</w:t>
      </w:r>
    </w:p>
    <w:p w14:paraId="79C178EA" w14:textId="77777777" w:rsidR="0022431E" w:rsidRPr="0022431E" w:rsidRDefault="0022431E" w:rsidP="00683E3B">
      <w:pPr>
        <w:pStyle w:val="11Head-Bullet"/>
      </w:pPr>
      <w:r w:rsidRPr="0022431E">
        <w:rPr>
          <w:b/>
          <w:bCs/>
        </w:rPr>
        <w:t>Racking:</w:t>
      </w:r>
      <w:r w:rsidRPr="0022431E">
        <w:t xml:space="preserve"> Provisions shall be provided for manual or motorized racking of the breaker with the compartment door closed to enhance operator safety.</w:t>
      </w:r>
    </w:p>
    <w:p w14:paraId="0E489E0D" w14:textId="7B9FB84D" w:rsidR="0022431E" w:rsidRPr="00767FAE" w:rsidRDefault="0022431E" w:rsidP="00055CCE">
      <w:pPr>
        <w:pStyle w:val="Heading2"/>
        <w:rPr>
          <w:b/>
          <w:bCs/>
        </w:rPr>
      </w:pPr>
      <w:r w:rsidRPr="00767FAE">
        <w:rPr>
          <w:b/>
          <w:bCs/>
        </w:rPr>
        <w:t>Environmental Control and Protection</w:t>
      </w:r>
    </w:p>
    <w:p w14:paraId="12E401B6" w14:textId="77777777" w:rsidR="0022431E" w:rsidRPr="0022431E" w:rsidRDefault="0022431E" w:rsidP="00776DB8">
      <w:pPr>
        <w:pStyle w:val="11Head-Bullet"/>
      </w:pPr>
      <w:r w:rsidRPr="0022431E">
        <w:rPr>
          <w:b/>
          <w:bCs/>
        </w:rPr>
        <w:t>Condensation and Cold Protection:</w:t>
      </w:r>
      <w:r w:rsidRPr="0022431E">
        <w:t xml:space="preserve"> The breaker compartment shall be equipped with thermostatically controlled strip heaters to prevent condensation and ensure reliable operation in cold ambient conditions.</w:t>
      </w:r>
    </w:p>
    <w:p w14:paraId="5022644E" w14:textId="77777777" w:rsidR="0022431E" w:rsidRDefault="0022431E" w:rsidP="00776DB8">
      <w:pPr>
        <w:pStyle w:val="11Head-Bullet"/>
      </w:pPr>
      <w:r w:rsidRPr="0022431E">
        <w:rPr>
          <w:b/>
          <w:bCs/>
        </w:rPr>
        <w:t>Maintenance-Free Design:</w:t>
      </w:r>
      <w:r w:rsidRPr="0022431E">
        <w:t xml:space="preserve"> The vacuum interrupters shall be embedded and sealed for life, requiring no adjustment of the breaker mechanism or contact wear measurements during the service life of the unit.</w:t>
      </w:r>
    </w:p>
    <w:p w14:paraId="02767437" w14:textId="59A2BE42" w:rsidR="0022431E" w:rsidRPr="0022431E" w:rsidRDefault="0022431E" w:rsidP="00055CCE">
      <w:pPr>
        <w:pStyle w:val="Heading2"/>
      </w:pPr>
      <w:r w:rsidRPr="005B13FB">
        <w:rPr>
          <w:b/>
          <w:bCs/>
        </w:rPr>
        <w:t>Control and Monitoring Interface</w:t>
      </w:r>
      <w:r w:rsidR="005B13FB">
        <w:rPr>
          <w:b/>
          <w:bCs/>
        </w:rPr>
        <w:br/>
      </w:r>
      <w:r w:rsidRPr="0022431E">
        <w:t xml:space="preserve">The breaker shall be fully integrated into the </w:t>
      </w:r>
      <w:r w:rsidR="005B13FB">
        <w:t>c</w:t>
      </w:r>
      <w:r w:rsidRPr="0022431E">
        <w:t>ontrol and protection system. All of the following signals shall be wired out to the low-voltage control panel:</w:t>
      </w:r>
    </w:p>
    <w:p w14:paraId="155501AE" w14:textId="77777777" w:rsidR="0022431E" w:rsidRDefault="0022431E" w:rsidP="005B13FB">
      <w:pPr>
        <w:pStyle w:val="11Head-Bullet"/>
      </w:pPr>
      <w:r w:rsidRPr="0022431E">
        <w:rPr>
          <w:b/>
          <w:bCs/>
        </w:rPr>
        <w:t>Status Signaling:</w:t>
      </w:r>
      <w:r w:rsidRPr="0022431E">
        <w:t xml:space="preserve"> Mechanical and electrical indicators for Open/Closed (Green/Red) and Spring Charged/Discharged status.</w:t>
      </w:r>
    </w:p>
    <w:p w14:paraId="5055703D" w14:textId="77777777" w:rsidR="0049224A" w:rsidRPr="0022431E" w:rsidRDefault="0049224A" w:rsidP="0049224A">
      <w:pPr>
        <w:pStyle w:val="11Head-Bullet"/>
        <w:numPr>
          <w:ilvl w:val="0"/>
          <w:numId w:val="0"/>
        </w:numPr>
        <w:ind w:left="450" w:hanging="270"/>
      </w:pPr>
    </w:p>
    <w:p w14:paraId="792E1D51" w14:textId="77777777" w:rsidR="0022431E" w:rsidRPr="0022431E" w:rsidRDefault="0022431E" w:rsidP="005B13FB">
      <w:pPr>
        <w:pStyle w:val="11Head-Bullet"/>
      </w:pPr>
      <w:r w:rsidRPr="0022431E">
        <w:rPr>
          <w:b/>
          <w:bCs/>
        </w:rPr>
        <w:lastRenderedPageBreak/>
        <w:t>Monitored Contacts:</w:t>
      </w:r>
      <w:r w:rsidRPr="0022431E">
        <w:t xml:space="preserve"> All "A" and "B" auxiliary contacts, loss of voltage, and trip coil monitors shall be wired to terminal blocks for use by the protection system.</w:t>
      </w:r>
    </w:p>
    <w:p w14:paraId="7927AA9A" w14:textId="741A36FB" w:rsidR="0022431E" w:rsidRPr="0022431E" w:rsidRDefault="0022431E" w:rsidP="005B13FB">
      <w:pPr>
        <w:pStyle w:val="11Head-Bullet"/>
      </w:pPr>
      <w:r w:rsidRPr="0022431E">
        <w:rPr>
          <w:b/>
          <w:bCs/>
        </w:rPr>
        <w:t>Operations:</w:t>
      </w:r>
      <w:r w:rsidRPr="0022431E">
        <w:t xml:space="preserve"> </w:t>
      </w:r>
      <w:r w:rsidR="000721EE">
        <w:t xml:space="preserve">An </w:t>
      </w:r>
      <w:r w:rsidR="000721EE" w:rsidRPr="0022431E">
        <w:t>operation counter shall be provided as standard</w:t>
      </w:r>
      <w:r w:rsidR="000721EE">
        <w:t>.</w:t>
      </w:r>
    </w:p>
    <w:p w14:paraId="01C8D1A8" w14:textId="4904EA55" w:rsidR="0022431E" w:rsidRPr="00767FAE" w:rsidRDefault="0022431E" w:rsidP="00055CCE">
      <w:pPr>
        <w:pStyle w:val="Heading2"/>
        <w:rPr>
          <w:b/>
          <w:bCs/>
        </w:rPr>
      </w:pPr>
      <w:r w:rsidRPr="00767FAE">
        <w:rPr>
          <w:b/>
          <w:bCs/>
        </w:rPr>
        <w:t>Protection and Instrumentation</w:t>
      </w:r>
    </w:p>
    <w:p w14:paraId="101FC950" w14:textId="6CCFB58F" w:rsidR="0022431E" w:rsidRPr="0022431E" w:rsidRDefault="0022431E" w:rsidP="005B13FB">
      <w:pPr>
        <w:pStyle w:val="11Head-Bullet"/>
      </w:pPr>
      <w:r w:rsidRPr="0022431E">
        <w:rPr>
          <w:b/>
          <w:bCs/>
        </w:rPr>
        <w:t>Relay Protection:</w:t>
      </w:r>
      <w:r w:rsidRPr="0022431E">
        <w:t xml:space="preserve"> The breaker shall be wired to a protection panel equipped with an </w:t>
      </w:r>
      <w:r w:rsidRPr="00D35EDD">
        <w:t>SEL-751</w:t>
      </w:r>
      <w:r w:rsidR="00A92988" w:rsidRPr="00D35EDD">
        <w:t>, SEL-487V</w:t>
      </w:r>
      <w:r w:rsidRPr="00D35EDD">
        <w:t xml:space="preserve"> or ABB</w:t>
      </w:r>
      <w:r w:rsidR="00BF5425" w:rsidRPr="00D35EDD">
        <w:t xml:space="preserve"> REX640</w:t>
      </w:r>
      <w:r w:rsidRPr="00D35EDD">
        <w:t xml:space="preserve"> </w:t>
      </w:r>
      <w:r w:rsidR="00A92988" w:rsidRPr="00D35EDD">
        <w:t>protection and</w:t>
      </w:r>
      <w:r w:rsidR="00A92988">
        <w:t xml:space="preserve"> control </w:t>
      </w:r>
      <w:r w:rsidRPr="0022431E">
        <w:t>relay providing instantaneous and time-overcurrent (phase and ground) protection for the harmonic filter bank</w:t>
      </w:r>
      <w:r w:rsidR="00A92988">
        <w:t xml:space="preserve"> amongst other</w:t>
      </w:r>
      <w:r w:rsidR="007B0F20">
        <w:t xml:space="preserve"> relay and control</w:t>
      </w:r>
      <w:r w:rsidR="00A92988">
        <w:t xml:space="preserve"> functions</w:t>
      </w:r>
      <w:r w:rsidRPr="0022431E">
        <w:t>.</w:t>
      </w:r>
    </w:p>
    <w:p w14:paraId="381CCF12" w14:textId="62F7F6DD" w:rsidR="0022431E" w:rsidRPr="0022431E" w:rsidRDefault="0022431E" w:rsidP="005B13FB">
      <w:pPr>
        <w:pStyle w:val="11Head-Bullet"/>
      </w:pPr>
      <w:r w:rsidRPr="0022431E">
        <w:rPr>
          <w:b/>
          <w:bCs/>
        </w:rPr>
        <w:t>Interlocking:</w:t>
      </w:r>
      <w:r w:rsidRPr="0022431E">
        <w:t xml:space="preserve"> The breaker shall form an integral part of the </w:t>
      </w:r>
      <w:r w:rsidR="00D35EDD">
        <w:t xml:space="preserve">filter </w:t>
      </w:r>
      <w:r w:rsidRPr="0022431E">
        <w:t>bank's trapped-key interlock system</w:t>
      </w:r>
      <w:r w:rsidR="00D35EDD">
        <w:t xml:space="preserve"> to prevent out-of-sequence entry or operation of the harmonic filter bank.</w:t>
      </w:r>
    </w:p>
    <w:p w14:paraId="517D3C9B" w14:textId="7CA919D1" w:rsidR="008C1A9B" w:rsidRPr="008C1A9B" w:rsidRDefault="006D47D4" w:rsidP="008C1A9B">
      <w:pPr>
        <w:pStyle w:val="Heading1"/>
      </w:pPr>
      <w:r>
        <w:t>Stage/Branch Switching Devices</w:t>
      </w:r>
    </w:p>
    <w:p w14:paraId="6C893DBB" w14:textId="3B6E830D" w:rsidR="005D5B2F" w:rsidRPr="005D5B2F" w:rsidRDefault="005D5B2F" w:rsidP="00055CCE">
      <w:pPr>
        <w:pStyle w:val="Heading2"/>
      </w:pPr>
      <w:r w:rsidRPr="005D5B2F">
        <w:rPr>
          <w:b/>
          <w:bCs/>
        </w:rPr>
        <w:t>General Requirements</w:t>
      </w:r>
      <w:r w:rsidR="006D4C89">
        <w:rPr>
          <w:b/>
          <w:bCs/>
        </w:rPr>
        <w:br/>
      </w:r>
      <w:r w:rsidRPr="005D5B2F">
        <w:t>Each harmonic filter stage shall be controlled by a switching device specifically rated for capacitive and inductive switching duties. The device type shall be selected based on system voltage, fault current, and reactive power (MVAR) requirements as specified in the project data sheets.</w:t>
      </w:r>
    </w:p>
    <w:p w14:paraId="1BB2CE88" w14:textId="3481FBE8" w:rsidR="005D5B2F" w:rsidRPr="005D5B2F" w:rsidRDefault="005D5B2F" w:rsidP="00055CCE">
      <w:pPr>
        <w:pStyle w:val="Heading2"/>
      </w:pPr>
      <w:r w:rsidRPr="005552CF">
        <w:rPr>
          <w:b/>
          <w:bCs/>
        </w:rPr>
        <w:t>Medium-Voltage Vacuum Contactors (4.16 kV – 7.2 kV)</w:t>
      </w:r>
      <w:r w:rsidR="00420811">
        <w:rPr>
          <w:b/>
          <w:bCs/>
        </w:rPr>
        <w:t xml:space="preserve"> – </w:t>
      </w:r>
      <w:r w:rsidR="00420811" w:rsidRPr="00420811">
        <w:t>This is not a transient free switching option</w:t>
      </w:r>
      <w:r w:rsidR="00784696">
        <w:t>.</w:t>
      </w:r>
      <w:r w:rsidR="005552CF">
        <w:rPr>
          <w:b/>
          <w:bCs/>
        </w:rPr>
        <w:br/>
      </w:r>
      <w:r w:rsidRPr="005D5B2F">
        <w:t xml:space="preserve">For applications within the 4.16 kV to 7.2 kV range, stages may be controlled by vacuum contactors such as the </w:t>
      </w:r>
      <w:r w:rsidRPr="005D5B2F">
        <w:rPr>
          <w:b/>
          <w:bCs/>
        </w:rPr>
        <w:t>ABB ConVac</w:t>
      </w:r>
      <w:r w:rsidRPr="005D5B2F">
        <w:t xml:space="preserve"> series or equivalent.</w:t>
      </w:r>
    </w:p>
    <w:p w14:paraId="35A9FD64" w14:textId="77777777" w:rsidR="005D5B2F" w:rsidRPr="005D5B2F" w:rsidRDefault="005D5B2F" w:rsidP="00B9421F">
      <w:pPr>
        <w:pStyle w:val="11Head-Bullet"/>
      </w:pPr>
      <w:r w:rsidRPr="005D5B2F">
        <w:rPr>
          <w:b/>
          <w:bCs/>
        </w:rPr>
        <w:t>Ratings:</w:t>
      </w:r>
      <w:r w:rsidRPr="005D5B2F">
        <w:t xml:space="preserve"> Contactors shall be suitable for high-frequency switching and rated for the maximum continuous current of the filter stage, including harmonic content.</w:t>
      </w:r>
    </w:p>
    <w:p w14:paraId="556AB1D4" w14:textId="77777777" w:rsidR="005D5B2F" w:rsidRPr="005D5B2F" w:rsidRDefault="005D5B2F" w:rsidP="00B9421F">
      <w:pPr>
        <w:pStyle w:val="11Head-Bullet"/>
      </w:pPr>
      <w:r w:rsidRPr="00B9421F">
        <w:rPr>
          <w:b/>
          <w:bCs/>
        </w:rPr>
        <w:t>Mechanical Life:</w:t>
      </w:r>
      <w:r w:rsidRPr="005D5B2F">
        <w:t xml:space="preserve"> The contactor shall offer a high mechanical endurance (up to 1,000,000 operations) to suit automatic power factor correction applications.</w:t>
      </w:r>
    </w:p>
    <w:p w14:paraId="7934FD4F" w14:textId="384F4251" w:rsidR="005D5B2F" w:rsidRPr="005D5B2F" w:rsidRDefault="005D5B2F" w:rsidP="00055CCE">
      <w:pPr>
        <w:pStyle w:val="Heading2"/>
      </w:pPr>
      <w:r w:rsidRPr="005D5B2F">
        <w:rPr>
          <w:b/>
          <w:bCs/>
        </w:rPr>
        <w:t>Vacuum Switches (4.16 kV – 2</w:t>
      </w:r>
      <w:r w:rsidR="004B730F">
        <w:rPr>
          <w:b/>
          <w:bCs/>
        </w:rPr>
        <w:t>5</w:t>
      </w:r>
      <w:r w:rsidRPr="005D5B2F">
        <w:rPr>
          <w:b/>
          <w:bCs/>
        </w:rPr>
        <w:t xml:space="preserve"> kV)</w:t>
      </w:r>
      <w:r w:rsidR="00784696">
        <w:rPr>
          <w:b/>
          <w:bCs/>
        </w:rPr>
        <w:t xml:space="preserve"> – </w:t>
      </w:r>
      <w:r w:rsidR="00784696">
        <w:t>This is a transient free switching option</w:t>
      </w:r>
      <w:r w:rsidR="00784696">
        <w:rPr>
          <w:b/>
          <w:bCs/>
        </w:rPr>
        <w:br/>
      </w:r>
      <w:r w:rsidRPr="005D5B2F">
        <w:t>For system voltages up to 2</w:t>
      </w:r>
      <w:r w:rsidR="004B730F">
        <w:t>5</w:t>
      </w:r>
      <w:r w:rsidRPr="005D5B2F">
        <w:t xml:space="preserve"> kV, stages shall be controlled by </w:t>
      </w:r>
      <w:r w:rsidR="004B730F">
        <w:t>Eato</w:t>
      </w:r>
      <w:r w:rsidR="00784696">
        <w:t>n</w:t>
      </w:r>
      <w:r w:rsidR="00124B6A">
        <w:t>’s</w:t>
      </w:r>
      <w:r w:rsidR="004B730F">
        <w:t xml:space="preserve"> </w:t>
      </w:r>
      <w:r w:rsidR="00124B6A">
        <w:t xml:space="preserve">Cooper Power Series Edison Capacitor Switch </w:t>
      </w:r>
      <w:r w:rsidRPr="005D5B2F">
        <w:t>specifically tested for capacitor switching</w:t>
      </w:r>
      <w:r w:rsidR="00784696">
        <w:t xml:space="preserve">. </w:t>
      </w:r>
    </w:p>
    <w:p w14:paraId="00E6C41A" w14:textId="77777777" w:rsidR="005D5B2F" w:rsidRPr="005D5B2F" w:rsidRDefault="005D5B2F" w:rsidP="005D5B2F">
      <w:pPr>
        <w:pStyle w:val="11Head-Bullet"/>
        <w:numPr>
          <w:ilvl w:val="0"/>
          <w:numId w:val="25"/>
        </w:numPr>
      </w:pPr>
      <w:r w:rsidRPr="005D5B2F">
        <w:rPr>
          <w:b/>
          <w:bCs/>
        </w:rPr>
        <w:t>Compliance:</w:t>
      </w:r>
      <w:r w:rsidRPr="005D5B2F">
        <w:t xml:space="preserve"> The switches shall be tested in accordance with IEEE C37.66. Certified test results demonstrating restrike-free performance shall be provided upon request.</w:t>
      </w:r>
    </w:p>
    <w:p w14:paraId="2FFDCB6C" w14:textId="77777777" w:rsidR="005D5B2F" w:rsidRDefault="005D5B2F" w:rsidP="005D5B2F">
      <w:pPr>
        <w:pStyle w:val="11Head-Bullet"/>
        <w:numPr>
          <w:ilvl w:val="0"/>
          <w:numId w:val="25"/>
        </w:numPr>
      </w:pPr>
      <w:r w:rsidRPr="005D5B2F">
        <w:rPr>
          <w:b/>
          <w:bCs/>
        </w:rPr>
        <w:t>Design:</w:t>
      </w:r>
      <w:r w:rsidRPr="005D5B2F">
        <w:t xml:space="preserve"> The switches shall utilize a solenoid-operated mechanism and vacuum interrupters to ensure fast, reliable switching of capacitive loads.</w:t>
      </w:r>
    </w:p>
    <w:p w14:paraId="1E9155B1" w14:textId="7BDC1AD3" w:rsidR="00784696" w:rsidRPr="005D5B2F" w:rsidRDefault="00784696" w:rsidP="005D5B2F">
      <w:pPr>
        <w:pStyle w:val="11Head-Bullet"/>
        <w:numPr>
          <w:ilvl w:val="0"/>
          <w:numId w:val="25"/>
        </w:numPr>
      </w:pPr>
      <w:r>
        <w:rPr>
          <w:b/>
          <w:bCs/>
        </w:rPr>
        <w:t>Added Feature:</w:t>
      </w:r>
      <w:r>
        <w:t xml:space="preserve"> Valquest Z-Cap ZVC Control for transient free switching</w:t>
      </w:r>
    </w:p>
    <w:p w14:paraId="46F873DC" w14:textId="0D6DC1E1" w:rsidR="005D5B2F" w:rsidRPr="005D5B2F" w:rsidRDefault="005D5B2F" w:rsidP="00055CCE">
      <w:pPr>
        <w:pStyle w:val="Heading2"/>
      </w:pPr>
      <w:r w:rsidRPr="00C47168">
        <w:rPr>
          <w:b/>
          <w:bCs/>
        </w:rPr>
        <w:t>Vacuum Circuit Breakers (</w:t>
      </w:r>
      <w:r w:rsidR="00D71FE2">
        <w:rPr>
          <w:b/>
          <w:bCs/>
        </w:rPr>
        <w:t>4.16kV – 38kV</w:t>
      </w:r>
      <w:r w:rsidRPr="00C47168">
        <w:rPr>
          <w:b/>
          <w:bCs/>
        </w:rPr>
        <w:t>)</w:t>
      </w:r>
      <w:r w:rsidR="008F2A5F">
        <w:rPr>
          <w:b/>
          <w:bCs/>
        </w:rPr>
        <w:t xml:space="preserve">  </w:t>
      </w:r>
      <w:r w:rsidR="00C47168">
        <w:rPr>
          <w:b/>
          <w:bCs/>
        </w:rPr>
        <w:br/>
      </w:r>
      <w:r w:rsidR="002478A7">
        <w:t>When</w:t>
      </w:r>
      <w:r w:rsidRPr="005D5B2F">
        <w:t xml:space="preserve"> branch MVAR ratings exceed the capability of standard switches, a vacuum circuit breaker shall be utilized.</w:t>
      </w:r>
    </w:p>
    <w:p w14:paraId="44819457" w14:textId="30B0A387" w:rsidR="005D5B2F" w:rsidRPr="005D5B2F" w:rsidRDefault="005D5B2F" w:rsidP="00C47168">
      <w:pPr>
        <w:pStyle w:val="11Head-Bullet"/>
      </w:pPr>
      <w:r w:rsidRPr="00C47168">
        <w:rPr>
          <w:b/>
          <w:bCs/>
        </w:rPr>
        <w:t xml:space="preserve">Technology: </w:t>
      </w:r>
      <w:r w:rsidR="00B77D10" w:rsidRPr="00BC372B">
        <w:t>Breakers</w:t>
      </w:r>
      <w:r w:rsidR="00B77D10" w:rsidRPr="005D5B2F">
        <w:t xml:space="preserve"> shall be ABB VD4</w:t>
      </w:r>
      <w:r w:rsidR="00B77D10">
        <w:t>, ABB ADVAC</w:t>
      </w:r>
      <w:r w:rsidR="00B77D10" w:rsidRPr="005D5B2F">
        <w:t xml:space="preserve"> (spring-operated), ABB AMVAC</w:t>
      </w:r>
      <w:r w:rsidR="00B77D10">
        <w:t xml:space="preserve">, ABB </w:t>
      </w:r>
      <w:r w:rsidR="00B77D10" w:rsidRPr="005D5B2F">
        <w:t>ADVAC</w:t>
      </w:r>
      <w:r w:rsidR="00B77D10">
        <w:t xml:space="preserve"> or ABB VD4-CS</w:t>
      </w:r>
      <w:r w:rsidR="00B77D10" w:rsidRPr="005D5B2F">
        <w:t xml:space="preserve"> (magnetically actuated</w:t>
      </w:r>
      <w:r w:rsidR="008F2A5F">
        <w:t xml:space="preserve"> and transient free</w:t>
      </w:r>
      <w:r w:rsidR="00B77D10" w:rsidRPr="005D5B2F">
        <w:t>), or an approved equivalent.</w:t>
      </w:r>
    </w:p>
    <w:p w14:paraId="3A24AA25" w14:textId="77777777" w:rsidR="005D5B2F" w:rsidRPr="005D5B2F" w:rsidRDefault="005D5B2F" w:rsidP="00C47168">
      <w:pPr>
        <w:pStyle w:val="11Head-Bullet"/>
      </w:pPr>
      <w:r w:rsidRPr="00C47168">
        <w:rPr>
          <w:b/>
          <w:bCs/>
        </w:rPr>
        <w:t>Maintenance-Free Interrupters:</w:t>
      </w:r>
      <w:r w:rsidRPr="005D5B2F">
        <w:t xml:space="preserve"> The vacuum interrupters shall be embedded in resin (sealed-for-life) to protect against dust, humidity, and condensation.</w:t>
      </w:r>
    </w:p>
    <w:p w14:paraId="2BA00D6F" w14:textId="77777777" w:rsidR="005D5B2F" w:rsidRPr="005D5B2F" w:rsidRDefault="005D5B2F" w:rsidP="00C47168">
      <w:pPr>
        <w:pStyle w:val="11Head-Bullet"/>
      </w:pPr>
      <w:r w:rsidRPr="00C47168">
        <w:rPr>
          <w:b/>
          <w:bCs/>
        </w:rPr>
        <w:t>Execution:</w:t>
      </w:r>
      <w:r w:rsidRPr="005D5B2F">
        <w:t xml:space="preserve"> Breakers may be provided in Fixed or Drawout (Roll-on-the-floor) configurations. Drawout units shall be capable of racking with the compartment door closed.</w:t>
      </w:r>
    </w:p>
    <w:p w14:paraId="36301372" w14:textId="113B5211" w:rsidR="005D5B2F" w:rsidRPr="005D5B2F" w:rsidRDefault="005D5B2F" w:rsidP="00055CCE">
      <w:pPr>
        <w:pStyle w:val="Heading2"/>
      </w:pPr>
      <w:r w:rsidRPr="005D5B2F">
        <w:rPr>
          <w:b/>
          <w:bCs/>
        </w:rPr>
        <w:t>SF6 Switching Technology (38 kV Applications)</w:t>
      </w:r>
      <w:r w:rsidR="00F92369">
        <w:rPr>
          <w:b/>
          <w:bCs/>
        </w:rPr>
        <w:t xml:space="preserve"> – </w:t>
      </w:r>
      <w:r w:rsidR="00F92369">
        <w:t>Partial transient mitigation</w:t>
      </w:r>
      <w:r w:rsidR="00351061">
        <w:rPr>
          <w:b/>
          <w:bCs/>
        </w:rPr>
        <w:br/>
      </w:r>
      <w:r w:rsidR="00351061">
        <w:t>S</w:t>
      </w:r>
      <w:r w:rsidRPr="005D5B2F">
        <w:t>tages shall be controlled by an SF6 insulated switching device, such as the</w:t>
      </w:r>
      <w:r w:rsidRPr="00351061">
        <w:t xml:space="preserve"> Southern States CapSwitcher® or equivalent.</w:t>
      </w:r>
    </w:p>
    <w:p w14:paraId="6D66D820" w14:textId="77777777" w:rsidR="005D5B2F" w:rsidRPr="005D5B2F" w:rsidRDefault="005D5B2F" w:rsidP="005D5B2F">
      <w:pPr>
        <w:pStyle w:val="11Head-Bullet"/>
        <w:numPr>
          <w:ilvl w:val="0"/>
          <w:numId w:val="27"/>
        </w:numPr>
      </w:pPr>
      <w:r w:rsidRPr="005D5B2F">
        <w:rPr>
          <w:b/>
          <w:bCs/>
        </w:rPr>
        <w:lastRenderedPageBreak/>
        <w:t>Transient Mitigation:</w:t>
      </w:r>
      <w:r w:rsidRPr="005D5B2F">
        <w:t xml:space="preserve"> The switch shall utilize closing resistors or specialized interrupter technology to minimize voltage transients and inrush currents during switching.</w:t>
      </w:r>
    </w:p>
    <w:p w14:paraId="1D7E2A0E" w14:textId="740DBD00" w:rsidR="005D5B2F" w:rsidRPr="005D5B2F" w:rsidRDefault="005D5B2F" w:rsidP="005D5B2F">
      <w:pPr>
        <w:pStyle w:val="11Head-Bullet"/>
        <w:numPr>
          <w:ilvl w:val="0"/>
          <w:numId w:val="27"/>
        </w:numPr>
      </w:pPr>
      <w:r w:rsidRPr="005D5B2F">
        <w:rPr>
          <w:b/>
          <w:bCs/>
        </w:rPr>
        <w:t>Monitoring:</w:t>
      </w:r>
      <w:r w:rsidRPr="005D5B2F">
        <w:t xml:space="preserve"> The device shall include a gas density switch or pressure gauge for continuous monitoring of the SF6 insulation levels.</w:t>
      </w:r>
    </w:p>
    <w:p w14:paraId="0C201A41" w14:textId="0B24D378" w:rsidR="005D5B2F" w:rsidRPr="00767FAE" w:rsidRDefault="005D5B2F" w:rsidP="00055CCE">
      <w:pPr>
        <w:pStyle w:val="Heading2"/>
        <w:rPr>
          <w:b/>
          <w:bCs/>
        </w:rPr>
      </w:pPr>
      <w:r w:rsidRPr="00767FAE">
        <w:rPr>
          <w:b/>
          <w:bCs/>
        </w:rPr>
        <w:t>Control and Safety Interlocking</w:t>
      </w:r>
    </w:p>
    <w:p w14:paraId="469BE7CF" w14:textId="77777777" w:rsidR="005D5B2F" w:rsidRPr="005D5B2F" w:rsidRDefault="005D5B2F" w:rsidP="005D5B2F">
      <w:pPr>
        <w:pStyle w:val="11Head-Bullet"/>
        <w:numPr>
          <w:ilvl w:val="0"/>
          <w:numId w:val="28"/>
        </w:numPr>
      </w:pPr>
      <w:r w:rsidRPr="005D5B2F">
        <w:rPr>
          <w:b/>
          <w:bCs/>
        </w:rPr>
        <w:t>Selector Interface:</w:t>
      </w:r>
      <w:r w:rsidRPr="005D5B2F">
        <w:t xml:space="preserve"> Each switching device shall be equipped with a local ON/OFF/AUTO selector switch. In "AUTO," the device accepts signals from the digital controller; "ON/OFF" serves as a manual override.</w:t>
      </w:r>
    </w:p>
    <w:p w14:paraId="6618D2E1" w14:textId="6BED7FCE" w:rsidR="005D5B2F" w:rsidRPr="005D5B2F" w:rsidRDefault="005D5B2F" w:rsidP="005D5B2F">
      <w:pPr>
        <w:pStyle w:val="11Head-Bullet"/>
        <w:numPr>
          <w:ilvl w:val="0"/>
          <w:numId w:val="28"/>
        </w:numPr>
      </w:pPr>
      <w:r w:rsidRPr="005D5B2F">
        <w:rPr>
          <w:b/>
          <w:bCs/>
        </w:rPr>
        <w:t>Re</w:t>
      </w:r>
      <w:r w:rsidR="009859A4">
        <w:rPr>
          <w:b/>
          <w:bCs/>
        </w:rPr>
        <w:t>close</w:t>
      </w:r>
      <w:r w:rsidRPr="005D5B2F">
        <w:rPr>
          <w:b/>
          <w:bCs/>
        </w:rPr>
        <w:t xml:space="preserve"> Protection:</w:t>
      </w:r>
      <w:r w:rsidRPr="005D5B2F">
        <w:t xml:space="preserve"> The control system shall enforce a mandatory discharge timer, preventing the switching device from re-closing within a 5-minute period after de-energization.</w:t>
      </w:r>
    </w:p>
    <w:p w14:paraId="615EE40B" w14:textId="2A95916B" w:rsidR="005D5B2F" w:rsidRPr="005D5B2F" w:rsidRDefault="005D5B2F" w:rsidP="005D5B2F">
      <w:pPr>
        <w:pStyle w:val="11Head-Bullet"/>
        <w:numPr>
          <w:ilvl w:val="0"/>
          <w:numId w:val="28"/>
        </w:numPr>
      </w:pPr>
      <w:r w:rsidRPr="005D5B2F">
        <w:rPr>
          <w:b/>
          <w:bCs/>
        </w:rPr>
        <w:t>Safety Interlocks:</w:t>
      </w:r>
      <w:r w:rsidRPr="005D5B2F">
        <w:t xml:space="preserve"> All stage switching devices shall be electrically and/or mechanically interlocked with the bank’s main air-disconnect</w:t>
      </w:r>
      <w:r w:rsidR="009859A4">
        <w:t xml:space="preserve"> </w:t>
      </w:r>
      <w:r w:rsidRPr="005D5B2F">
        <w:t>switch</w:t>
      </w:r>
      <w:r w:rsidR="00A55061">
        <w:t xml:space="preserve"> (or main breaker)</w:t>
      </w:r>
      <w:r w:rsidRPr="005D5B2F">
        <w:t xml:space="preserve"> and ground switch. They must be in the "OPEN" position before the main disconnect </w:t>
      </w:r>
      <w:r w:rsidR="00A55061">
        <w:t xml:space="preserve">(or main breaker) </w:t>
      </w:r>
      <w:r w:rsidRPr="005D5B2F">
        <w:t xml:space="preserve">can be operated or the enclosure doors </w:t>
      </w:r>
      <w:r w:rsidR="001374F5" w:rsidRPr="005D5B2F">
        <w:t>are accessed</w:t>
      </w:r>
      <w:r w:rsidRPr="005D5B2F">
        <w:t>.</w:t>
      </w:r>
    </w:p>
    <w:p w14:paraId="294A1990" w14:textId="77777777" w:rsidR="003C599D" w:rsidRPr="003C599D" w:rsidRDefault="003C599D" w:rsidP="003C599D">
      <w:pPr>
        <w:pStyle w:val="Heading1"/>
      </w:pPr>
      <w:r w:rsidRPr="003C599D">
        <w:t>IRON-CORE FILTER REACTORS AND PROTECTION</w:t>
      </w:r>
    </w:p>
    <w:p w14:paraId="577D3881" w14:textId="01F6498A" w:rsidR="003C599D" w:rsidRPr="003C599D" w:rsidRDefault="003C599D" w:rsidP="00055CCE">
      <w:pPr>
        <w:pStyle w:val="Heading2"/>
      </w:pPr>
      <w:r w:rsidRPr="00567BF9">
        <w:rPr>
          <w:b/>
          <w:bCs/>
        </w:rPr>
        <w:t>General Design and Construction</w:t>
      </w:r>
      <w:r w:rsidR="009218EE">
        <w:br/>
      </w:r>
      <w:r w:rsidRPr="003C599D">
        <w:t>The harmonic filter bank shall be equipped with single-phase, iron-core, dry-type tuning reactors</w:t>
      </w:r>
      <w:r w:rsidR="00567BF9">
        <w:t xml:space="preserve"> (or three-phase where appropriate)</w:t>
      </w:r>
      <w:r w:rsidRPr="003C599D">
        <w:t>.</w:t>
      </w:r>
    </w:p>
    <w:p w14:paraId="79ED9F80" w14:textId="76299B8A" w:rsidR="003C599D" w:rsidRPr="003C599D" w:rsidRDefault="003C599D" w:rsidP="009218EE">
      <w:pPr>
        <w:pStyle w:val="11Head-Bullet"/>
      </w:pPr>
      <w:r w:rsidRPr="00567BF9">
        <w:rPr>
          <w:b/>
          <w:bCs/>
        </w:rPr>
        <w:t>Materials:</w:t>
      </w:r>
      <w:r w:rsidRPr="003C599D">
        <w:t xml:space="preserve"> Windings shall be </w:t>
      </w:r>
      <w:r w:rsidR="0057369C">
        <w:t>copper or aluminum based on the supplier’s recommendation.</w:t>
      </w:r>
      <w:r w:rsidRPr="003C599D">
        <w:t xml:space="preserve"> The magnetic core shall be constructed of high-grade, grain-oriented magnetic steel laminations.</w:t>
      </w:r>
    </w:p>
    <w:p w14:paraId="2C0CEE42" w14:textId="79068995" w:rsidR="003C599D" w:rsidRPr="003C599D" w:rsidRDefault="003C599D" w:rsidP="009218EE">
      <w:pPr>
        <w:pStyle w:val="11Head-Bullet"/>
      </w:pPr>
      <w:r w:rsidRPr="00567BF9">
        <w:rPr>
          <w:b/>
          <w:bCs/>
        </w:rPr>
        <w:t>Insulation System:</w:t>
      </w:r>
      <w:r w:rsidRPr="003C599D">
        <w:t xml:space="preserve"> The reactors shall utilize a 220°C  insulation system. The design shall limit temperature rise to 115°C over a </w:t>
      </w:r>
      <w:r w:rsidR="0032425B">
        <w:t>6</w:t>
      </w:r>
      <w:r w:rsidRPr="003C599D">
        <w:t>0°C ambient (or 80°C rise over a 60°C ambient).</w:t>
      </w:r>
    </w:p>
    <w:p w14:paraId="071D1E17" w14:textId="77777777" w:rsidR="003C599D" w:rsidRPr="003C599D" w:rsidRDefault="003C599D" w:rsidP="009218EE">
      <w:pPr>
        <w:pStyle w:val="11Head-Bullet"/>
      </w:pPr>
      <w:r w:rsidRPr="00567BF9">
        <w:rPr>
          <w:b/>
          <w:bCs/>
        </w:rPr>
        <w:t>Processing:</w:t>
      </w:r>
      <w:r w:rsidRPr="003C599D">
        <w:t xml:space="preserve"> The complete reactor assembly shall undergo Vacuum Pressure Impregnation (VPI) using EPIC TC-0118 epoxy (or equivalent high-performance resin) to ensure mechanical and environmental integrity.</w:t>
      </w:r>
    </w:p>
    <w:p w14:paraId="0318101B" w14:textId="77777777" w:rsidR="003C599D" w:rsidRPr="003C599D" w:rsidRDefault="003C599D" w:rsidP="009218EE">
      <w:pPr>
        <w:pStyle w:val="11Head-Bullet"/>
      </w:pPr>
      <w:r w:rsidRPr="0099539C">
        <w:rPr>
          <w:b/>
          <w:bCs/>
        </w:rPr>
        <w:t>Magnetic Design:</w:t>
      </w:r>
      <w:r w:rsidRPr="003C599D">
        <w:t xml:space="preserve"> To minimize gap magnetic losses and extraneous magnetic fields, a distributed gap design shall be utilized. All core gaps shall be cemented to minimize audible noise levels.</w:t>
      </w:r>
    </w:p>
    <w:p w14:paraId="0F0AABE3" w14:textId="5C8E3FF8" w:rsidR="003C599D" w:rsidRPr="003C599D" w:rsidRDefault="003C599D" w:rsidP="00055CCE">
      <w:pPr>
        <w:pStyle w:val="Heading2"/>
      </w:pPr>
      <w:r w:rsidRPr="00567BF9">
        <w:rPr>
          <w:b/>
          <w:bCs/>
        </w:rPr>
        <w:t>Electrical Ratings and Saturation</w:t>
      </w:r>
      <w:r w:rsidR="009218EE">
        <w:br/>
      </w:r>
      <w:r w:rsidRPr="003C599D">
        <w:t>The reactor current ratings and magnetic design shall be based on the following criteria:</w:t>
      </w:r>
    </w:p>
    <w:p w14:paraId="2770D153" w14:textId="77777777" w:rsidR="003C599D" w:rsidRPr="003C599D" w:rsidRDefault="003C599D" w:rsidP="009218EE">
      <w:pPr>
        <w:pStyle w:val="11Head-Bullet"/>
      </w:pPr>
      <w:r w:rsidRPr="00567BF9">
        <w:rPr>
          <w:b/>
          <w:bCs/>
        </w:rPr>
        <w:t>Saturation Margin:</w:t>
      </w:r>
      <w:r w:rsidRPr="003C599D">
        <w:t xml:space="preserve"> The reactor core shall not saturate for currents less than 250% of the fundamental current rating of the filter bank or stage.</w:t>
      </w:r>
    </w:p>
    <w:p w14:paraId="2E1B16EC" w14:textId="77777777" w:rsidR="003C599D" w:rsidRPr="003C599D" w:rsidRDefault="003C599D" w:rsidP="009218EE">
      <w:pPr>
        <w:pStyle w:val="11Head-Bullet"/>
      </w:pPr>
      <w:r w:rsidRPr="00567BF9">
        <w:rPr>
          <w:b/>
          <w:bCs/>
        </w:rPr>
        <w:t>Flux Density:</w:t>
      </w:r>
      <w:r w:rsidRPr="003C599D">
        <w:t xml:space="preserve"> Peak flux density of the core shall be limited to 1.2 – 1.4 Tesla, assuming all harmonic current peaks are 100% coincident. Core design must be based on peak flux, not solely on the RMS current rating.</w:t>
      </w:r>
    </w:p>
    <w:p w14:paraId="604B374C" w14:textId="77777777" w:rsidR="003C599D" w:rsidRPr="003C599D" w:rsidRDefault="003C599D" w:rsidP="009218EE">
      <w:pPr>
        <w:pStyle w:val="11Head-Bullet"/>
      </w:pPr>
      <w:r w:rsidRPr="00567BF9">
        <w:rPr>
          <w:b/>
          <w:bCs/>
        </w:rPr>
        <w:t>Harmonic Spectrum:</w:t>
      </w:r>
      <w:r w:rsidRPr="003C599D">
        <w:t xml:space="preserve"> Reactor ratings shall be verified by computer simulations. If project-specific harmonic data is unavailable at the time of the bid, the following minimum current spectrum (in Amperes) shall be utilized for design:</w:t>
      </w:r>
    </w:p>
    <w:p w14:paraId="4095371A" w14:textId="6EC7D8AB" w:rsidR="003C599D" w:rsidRPr="003C599D" w:rsidRDefault="003C599D" w:rsidP="009218EE">
      <w:pPr>
        <w:pStyle w:val="11Head-Bullet"/>
        <w:numPr>
          <w:ilvl w:val="1"/>
          <w:numId w:val="6"/>
        </w:numPr>
      </w:pPr>
      <w:r w:rsidRPr="0035793B">
        <w:rPr>
          <w:b/>
          <w:bCs/>
        </w:rPr>
        <w:t>I</w:t>
      </w:r>
      <w:r w:rsidRPr="0035793B">
        <w:rPr>
          <w:b/>
          <w:bCs/>
          <w:vertAlign w:val="subscript"/>
        </w:rPr>
        <w:t>1</w:t>
      </w:r>
      <w:r w:rsidRPr="003C599D">
        <w:t xml:space="preserve"> (Fundamental</w:t>
      </w:r>
      <w:r w:rsidR="00C609BA">
        <w:t xml:space="preserve"> Current Rating of the Reactor</w:t>
      </w:r>
      <w:r w:rsidRPr="003C599D">
        <w:t>): 1.</w:t>
      </w:r>
      <w:r w:rsidR="002561B6">
        <w:t>5</w:t>
      </w:r>
      <w:r w:rsidRPr="003C599D">
        <w:t xml:space="preserve"> times </w:t>
      </w:r>
      <w:r w:rsidR="00F558D7">
        <w:t>f</w:t>
      </w:r>
      <w:r w:rsidRPr="003C599D">
        <w:t xml:space="preserve">undamental </w:t>
      </w:r>
      <w:r w:rsidR="00F558D7">
        <w:t>c</w:t>
      </w:r>
      <w:r w:rsidRPr="003C599D">
        <w:t xml:space="preserve">urrent </w:t>
      </w:r>
      <w:r w:rsidR="00F558D7">
        <w:t>r</w:t>
      </w:r>
      <w:r w:rsidRPr="003C599D">
        <w:t>ating of the stage or bank at nominal system voltage.</w:t>
      </w:r>
    </w:p>
    <w:p w14:paraId="376FA7C7" w14:textId="7D6785FB" w:rsidR="003C599D" w:rsidRDefault="003C599D" w:rsidP="009218EE">
      <w:pPr>
        <w:pStyle w:val="11Head-Bullet"/>
        <w:numPr>
          <w:ilvl w:val="1"/>
          <w:numId w:val="6"/>
        </w:numPr>
      </w:pPr>
      <w:r w:rsidRPr="0035793B">
        <w:rPr>
          <w:b/>
          <w:bCs/>
        </w:rPr>
        <w:t>I</w:t>
      </w:r>
      <w:r w:rsidRPr="0035793B">
        <w:rPr>
          <w:b/>
          <w:bCs/>
          <w:vertAlign w:val="subscript"/>
        </w:rPr>
        <w:t>Tuned</w:t>
      </w:r>
      <w:r w:rsidR="00F558D7" w:rsidRPr="0035793B">
        <w:rPr>
          <w:b/>
          <w:bCs/>
        </w:rPr>
        <w:t xml:space="preserve"> </w:t>
      </w:r>
      <w:r w:rsidR="00C609BA">
        <w:t>(</w:t>
      </w:r>
      <w:r w:rsidRPr="003C599D">
        <w:t>Tuning Frequency</w:t>
      </w:r>
      <w:r w:rsidR="00C609BA">
        <w:t xml:space="preserve"> Current Rating of the Reactor)</w:t>
      </w:r>
      <w:r w:rsidRPr="003C599D">
        <w:t>: 0.5</w:t>
      </w:r>
      <w:r w:rsidR="00F558D7">
        <w:t xml:space="preserve"> </w:t>
      </w:r>
      <w:r w:rsidRPr="003C599D">
        <w:t xml:space="preserve">times </w:t>
      </w:r>
      <w:r w:rsidR="00C609BA">
        <w:t>f</w:t>
      </w:r>
      <w:r w:rsidRPr="003C599D">
        <w:t xml:space="preserve">undamental </w:t>
      </w:r>
      <w:r w:rsidR="00C609BA">
        <w:t>c</w:t>
      </w:r>
      <w:r w:rsidRPr="003C599D">
        <w:t xml:space="preserve">urrent </w:t>
      </w:r>
      <w:r w:rsidR="00C609BA">
        <w:t>r</w:t>
      </w:r>
      <w:r w:rsidRPr="003C599D">
        <w:t xml:space="preserve">ating of the </w:t>
      </w:r>
      <w:r w:rsidR="001F666E">
        <w:t>branch (stage)</w:t>
      </w:r>
      <w:r w:rsidRPr="003C599D">
        <w:t xml:space="preserve"> at nominal system voltage.</w:t>
      </w:r>
    </w:p>
    <w:p w14:paraId="5C9C8A32" w14:textId="5ABA67DE" w:rsidR="003C599D" w:rsidRDefault="003C599D" w:rsidP="00055CCE">
      <w:pPr>
        <w:pStyle w:val="Heading2"/>
      </w:pPr>
      <w:r w:rsidRPr="00567BF9">
        <w:rPr>
          <w:b/>
          <w:bCs/>
        </w:rPr>
        <w:t>System Modeling and Validation</w:t>
      </w:r>
      <w:r w:rsidR="009218EE">
        <w:br/>
      </w:r>
      <w:r w:rsidRPr="003C599D">
        <w:t>The vendor is required to submit a formal data request upon receipt of an order to conduct detailed computer simulations. Results of these harmonic simulations, accounting for varying system impedances and abnormal conditions, shall be provided with the approval drawings.</w:t>
      </w:r>
    </w:p>
    <w:p w14:paraId="7CD6C3B3" w14:textId="77777777" w:rsidR="0049224A" w:rsidRPr="0049224A" w:rsidRDefault="0049224A" w:rsidP="0049224A"/>
    <w:p w14:paraId="36EEF728" w14:textId="748BB4B1" w:rsidR="003C599D" w:rsidRPr="003C599D" w:rsidRDefault="003C599D" w:rsidP="00055CCE">
      <w:pPr>
        <w:pStyle w:val="Heading2"/>
      </w:pPr>
      <w:r w:rsidRPr="00567BF9">
        <w:rPr>
          <w:b/>
          <w:bCs/>
        </w:rPr>
        <w:lastRenderedPageBreak/>
        <w:t>Reactor Protection</w:t>
      </w:r>
      <w:r w:rsidR="00567BF9">
        <w:br/>
      </w:r>
      <w:r w:rsidRPr="003C599D">
        <w:t>To ensure long-term reliability and protection against thermal damage, the following features shall be provided:</w:t>
      </w:r>
    </w:p>
    <w:p w14:paraId="088C78B3" w14:textId="3A9B8B9B" w:rsidR="003C599D" w:rsidRPr="003C599D" w:rsidRDefault="003C599D" w:rsidP="00567BF9">
      <w:pPr>
        <w:pStyle w:val="11Head-Bullet"/>
      </w:pPr>
      <w:r w:rsidRPr="00A6302B">
        <w:rPr>
          <w:b/>
          <w:bCs/>
        </w:rPr>
        <w:t>Harmonic Overload Protection:</w:t>
      </w:r>
      <w:r w:rsidRPr="003C599D">
        <w:t xml:space="preserve"> An adjustable overload relay shall be provided in </w:t>
      </w:r>
      <w:r w:rsidR="00A6302B">
        <w:t xml:space="preserve">all three phases </w:t>
      </w:r>
      <w:r w:rsidR="003A0B88">
        <w:t xml:space="preserve">of </w:t>
      </w:r>
      <w:r w:rsidRPr="003C599D">
        <w:t xml:space="preserve">each </w:t>
      </w:r>
      <w:r w:rsidR="003A0B88">
        <w:t>branch</w:t>
      </w:r>
      <w:r w:rsidRPr="003C599D">
        <w:t>. The relay must specifically account for the increased heating effects (I</w:t>
      </w:r>
      <w:r w:rsidRPr="003A0B88">
        <w:rPr>
          <w:vertAlign w:val="superscript"/>
        </w:rPr>
        <w:t>2</w:t>
      </w:r>
      <w:r w:rsidRPr="003C599D">
        <w:t>R and eddy current losses) of higher-order harmonic currents.</w:t>
      </w:r>
      <w:r w:rsidR="003A0B88">
        <w:t xml:space="preserve"> Preferred protection is an SEL7</w:t>
      </w:r>
      <w:r w:rsidR="00620E67">
        <w:t>35</w:t>
      </w:r>
      <w:r w:rsidR="003A0B88">
        <w:t xml:space="preserve"> relay that provided THD and individual harmonic current monitoring of each harmonic. </w:t>
      </w:r>
    </w:p>
    <w:p w14:paraId="0FFF233A" w14:textId="77777777" w:rsidR="003C599D" w:rsidRPr="003C599D" w:rsidRDefault="003C599D" w:rsidP="00567BF9">
      <w:pPr>
        <w:pStyle w:val="11Head-Bullet"/>
      </w:pPr>
      <w:r w:rsidRPr="00A6302B">
        <w:rPr>
          <w:b/>
          <w:bCs/>
        </w:rPr>
        <w:t>Thermal Backup:</w:t>
      </w:r>
      <w:r w:rsidRPr="003C599D">
        <w:t xml:space="preserve"> Each reactor shall be equipped with an integrated temperature relay (thermal switch). This relay shall provide backup protection against reactor over-temperature conditions caused by sustained harmonic overloads or cooling fan failure.</w:t>
      </w:r>
    </w:p>
    <w:p w14:paraId="49F72463" w14:textId="4887D515" w:rsidR="003C599D" w:rsidRDefault="003C599D" w:rsidP="00567BF9">
      <w:pPr>
        <w:pStyle w:val="11Head-Bullet"/>
      </w:pPr>
      <w:r w:rsidRPr="00A6302B">
        <w:rPr>
          <w:b/>
          <w:bCs/>
        </w:rPr>
        <w:t>Control Integration:</w:t>
      </w:r>
      <w:r w:rsidRPr="003C599D">
        <w:t xml:space="preserve"> Thermal and overload protection contacts shall be wired to the </w:t>
      </w:r>
      <w:r w:rsidR="006F4374">
        <w:t xml:space="preserve">control and </w:t>
      </w:r>
      <w:r w:rsidRPr="003C599D">
        <w:t xml:space="preserve">protection system to initiate a stage trip </w:t>
      </w:r>
      <w:r w:rsidR="006F4374">
        <w:t xml:space="preserve">as </w:t>
      </w:r>
      <w:r w:rsidRPr="003C599D">
        <w:t xml:space="preserve">required </w:t>
      </w:r>
      <w:r w:rsidR="006F4374">
        <w:t>to protect against damage or failure.</w:t>
      </w:r>
    </w:p>
    <w:p w14:paraId="4A11F7A5" w14:textId="77777777" w:rsidR="00A7482E" w:rsidRPr="00766794" w:rsidRDefault="00A7482E" w:rsidP="00A7482E">
      <w:pPr>
        <w:pStyle w:val="Heading1"/>
      </w:pPr>
      <w:r w:rsidRPr="00766794">
        <w:t>High-Pass Filter Resistor Modules (Damping Resistors)</w:t>
      </w:r>
    </w:p>
    <w:p w14:paraId="2E565646" w14:textId="77777777" w:rsidR="00A7482E" w:rsidRPr="002B22D0" w:rsidRDefault="00A7482E" w:rsidP="00A7482E">
      <w:pPr>
        <w:pStyle w:val="Heading2"/>
        <w:rPr>
          <w:b/>
          <w:bCs/>
        </w:rPr>
      </w:pPr>
      <w:r w:rsidRPr="002B22D0">
        <w:rPr>
          <w:b/>
          <w:bCs/>
        </w:rPr>
        <w:t>General and Compliance</w:t>
      </w:r>
      <w:r>
        <w:br/>
      </w:r>
      <w:r w:rsidRPr="002B22D0">
        <w:t>Stainless steel grid resistor</w:t>
      </w:r>
      <w:r>
        <w:t>s</w:t>
      </w:r>
      <w:r w:rsidRPr="002B22D0">
        <w:t xml:space="preserve"> shall be provided for each harmonic filter stage identified in Table 1 as a High-Pass or C-Type High-Pass branch. The resistor elements and assemblies shall comply with IEEE Std C57.32 and shall be suitable for continuous duty. Resistor assemblies shall be thermally sized to dissipate the energy produced by fundamental and harmonic currents without exceeding allowable temperature rise limits. </w:t>
      </w:r>
    </w:p>
    <w:p w14:paraId="41389365" w14:textId="77777777" w:rsidR="00A7482E" w:rsidRPr="002B22D0" w:rsidRDefault="00A7482E" w:rsidP="00A7482E">
      <w:pPr>
        <w:pStyle w:val="Heading2"/>
        <w:rPr>
          <w:b/>
          <w:bCs/>
        </w:rPr>
      </w:pPr>
      <w:r w:rsidRPr="002B22D0">
        <w:rPr>
          <w:b/>
          <w:bCs/>
        </w:rPr>
        <w:t>The resistors shall be configured as follows:</w:t>
      </w:r>
    </w:p>
    <w:p w14:paraId="327B6CF9" w14:textId="77777777" w:rsidR="00A7482E" w:rsidRPr="00985EB9" w:rsidRDefault="00A7482E" w:rsidP="00A7482E">
      <w:pPr>
        <w:pStyle w:val="11Head-Bullet"/>
        <w:ind w:hanging="360"/>
      </w:pPr>
      <w:r w:rsidRPr="003F7472">
        <w:rPr>
          <w:b/>
          <w:bCs/>
        </w:rPr>
        <w:t>Standard High-Pass Filters:</w:t>
      </w:r>
      <w:r w:rsidRPr="00985EB9">
        <w:t xml:space="preserve"> The resistor modules shall be connected in parallel with the tuning reactor to provide broadband damping of higher-order harmonics.</w:t>
      </w:r>
    </w:p>
    <w:p w14:paraId="441059C8" w14:textId="77777777" w:rsidR="00A7482E" w:rsidRPr="0047731A" w:rsidRDefault="00A7482E" w:rsidP="00A7482E">
      <w:pPr>
        <w:pStyle w:val="11Head-Bullet"/>
        <w:ind w:hanging="360"/>
      </w:pPr>
      <w:r w:rsidRPr="003F7472">
        <w:rPr>
          <w:b/>
          <w:bCs/>
        </w:rPr>
        <w:t>C-Type High-Pass Filters:</w:t>
      </w:r>
      <w:r w:rsidRPr="00985EB9">
        <w:t xml:space="preserve"> The resistor modules shall be connected in parallel with the series combination of the tuning</w:t>
      </w:r>
      <w:r w:rsidRPr="0047731A">
        <w:t xml:space="preserve"> reactor and the auxiliary (tuning) capacitor group.</w:t>
      </w:r>
    </w:p>
    <w:p w14:paraId="425138E1" w14:textId="77777777" w:rsidR="00A7482E" w:rsidRPr="00FF2DCE" w:rsidRDefault="00A7482E" w:rsidP="00A7482E">
      <w:pPr>
        <w:pStyle w:val="Heading2"/>
        <w:rPr>
          <w:b/>
          <w:bCs/>
        </w:rPr>
      </w:pPr>
      <w:r w:rsidRPr="00FF2DCE">
        <w:rPr>
          <w:b/>
          <w:bCs/>
        </w:rPr>
        <w:t>Design and Construction</w:t>
      </w:r>
    </w:p>
    <w:p w14:paraId="40FFE6CE" w14:textId="77777777" w:rsidR="00A7482E" w:rsidRPr="00766794" w:rsidRDefault="00A7482E" w:rsidP="00A7482E">
      <w:pPr>
        <w:pStyle w:val="11Head-Bullet"/>
        <w:ind w:hanging="360"/>
      </w:pPr>
      <w:r w:rsidRPr="00B34148">
        <w:rPr>
          <w:b/>
          <w:bCs/>
        </w:rPr>
        <w:t>Materials:</w:t>
      </w:r>
      <w:r w:rsidRPr="00766794">
        <w:t xml:space="preserve"> Resistor elements shall be constructed from all stainless steel to ensure low inductance and long-term corrosion resistance.</w:t>
      </w:r>
    </w:p>
    <w:p w14:paraId="34464939" w14:textId="77777777" w:rsidR="00A7482E" w:rsidRPr="00766794" w:rsidRDefault="00A7482E" w:rsidP="00A7482E">
      <w:pPr>
        <w:pStyle w:val="11Head-Bullet"/>
        <w:ind w:hanging="360"/>
      </w:pPr>
      <w:r w:rsidRPr="00B34148">
        <w:rPr>
          <w:b/>
          <w:bCs/>
        </w:rPr>
        <w:t>Enclosure:</w:t>
      </w:r>
      <w:r w:rsidRPr="00766794">
        <w:t xml:space="preserve"> The resistor modules shall be housed in a self-ventilated, unpainted, stainless steel enclosure suitable for outdoor installation.</w:t>
      </w:r>
    </w:p>
    <w:p w14:paraId="0773E820" w14:textId="77777777" w:rsidR="00A7482E" w:rsidRPr="00766794" w:rsidRDefault="00A7482E" w:rsidP="00A7482E">
      <w:pPr>
        <w:pStyle w:val="11Head-Bullet"/>
        <w:ind w:hanging="360"/>
      </w:pPr>
      <w:r w:rsidRPr="00B34148">
        <w:rPr>
          <w:b/>
          <w:bCs/>
        </w:rPr>
        <w:t>Stability:</w:t>
      </w:r>
      <w:r w:rsidRPr="00766794">
        <w:t xml:space="preserve"> The resistor assembly shall be engineered to minimize inherent inductance and limit the change in resistance as elements heat up to ensure a stable filter operating profile.</w:t>
      </w:r>
    </w:p>
    <w:p w14:paraId="049CD3FE" w14:textId="77777777" w:rsidR="00A7482E" w:rsidRPr="00766794" w:rsidRDefault="00A7482E" w:rsidP="00A7482E">
      <w:pPr>
        <w:pStyle w:val="11Head-Bullet"/>
        <w:ind w:hanging="360"/>
      </w:pPr>
      <w:r w:rsidRPr="00B34148">
        <w:rPr>
          <w:b/>
          <w:bCs/>
        </w:rPr>
        <w:t>Installation:</w:t>
      </w:r>
      <w:r w:rsidRPr="00766794">
        <w:t xml:space="preserve"> Modules shall be provided fully assembled and ready for installation on the roof of the harmonic filter bank. The manufacturer shall supply all necessary interconnection cables, through-roof bushings, and lugs to facilitate field integration with the main filter branches.</w:t>
      </w:r>
    </w:p>
    <w:p w14:paraId="0F7D6BE0" w14:textId="77777777" w:rsidR="00A7482E" w:rsidRPr="00AD5F61" w:rsidRDefault="00A7482E" w:rsidP="00A7482E">
      <w:pPr>
        <w:pStyle w:val="Heading2"/>
        <w:rPr>
          <w:b/>
          <w:bCs/>
        </w:rPr>
      </w:pPr>
      <w:r w:rsidRPr="00AD5F61">
        <w:rPr>
          <w:b/>
          <w:bCs/>
        </w:rPr>
        <w:t>Electrical Ratings</w:t>
      </w:r>
    </w:p>
    <w:p w14:paraId="59A0377B" w14:textId="77777777" w:rsidR="00A7482E" w:rsidRPr="00480F13" w:rsidRDefault="00A7482E" w:rsidP="00A7482E">
      <w:pPr>
        <w:pStyle w:val="11Head-Bullet"/>
        <w:ind w:hanging="360"/>
      </w:pPr>
      <w:r w:rsidRPr="00480F13">
        <w:t>Specific ohmic and power ratings for</w:t>
      </w:r>
      <w:r>
        <w:t xml:space="preserve"> each resistor are provided in Table 1.</w:t>
      </w:r>
    </w:p>
    <w:p w14:paraId="727D51FB" w14:textId="77777777" w:rsidR="00A7482E" w:rsidRPr="002A7D2C" w:rsidRDefault="00A7482E" w:rsidP="00A7482E">
      <w:pPr>
        <w:pStyle w:val="11Head-Bullet"/>
        <w:ind w:hanging="360"/>
      </w:pPr>
      <w:r w:rsidRPr="002A7D2C">
        <w:rPr>
          <w:b/>
          <w:bCs/>
        </w:rPr>
        <w:t>Series-Connected Resistors:</w:t>
      </w:r>
      <w:r w:rsidRPr="002A7D2C">
        <w:t xml:space="preserve"> Resistor assemblies shall be arranged in series groups per phase as required to properly withstand voltage transients during energization. The minimum number of series groups per phase shall be as follows:</w:t>
      </w:r>
    </w:p>
    <w:p w14:paraId="4CBF0464" w14:textId="77777777" w:rsidR="00A7482E" w:rsidRPr="002A7D2C" w:rsidRDefault="00A7482E" w:rsidP="00A7482E">
      <w:pPr>
        <w:pStyle w:val="11Head-Bullet"/>
        <w:numPr>
          <w:ilvl w:val="0"/>
          <w:numId w:val="49"/>
        </w:numPr>
        <w:tabs>
          <w:tab w:val="clear" w:pos="720"/>
          <w:tab w:val="num" w:pos="810"/>
        </w:tabs>
        <w:ind w:left="810"/>
      </w:pPr>
      <w:r w:rsidRPr="002A7D2C">
        <w:t xml:space="preserve">4.16 kV through 7.2 kV: one </w:t>
      </w:r>
    </w:p>
    <w:p w14:paraId="5718540E" w14:textId="77777777" w:rsidR="00A7482E" w:rsidRPr="002A7D2C" w:rsidRDefault="00A7482E" w:rsidP="00A7482E">
      <w:pPr>
        <w:pStyle w:val="11Head-Bullet"/>
        <w:numPr>
          <w:ilvl w:val="0"/>
          <w:numId w:val="49"/>
        </w:numPr>
        <w:tabs>
          <w:tab w:val="clear" w:pos="720"/>
          <w:tab w:val="num" w:pos="810"/>
        </w:tabs>
        <w:ind w:left="810"/>
      </w:pPr>
      <w:r w:rsidRPr="002A7D2C">
        <w:t xml:space="preserve">Above 7.2 kV through 17.3 kV: two </w:t>
      </w:r>
    </w:p>
    <w:p w14:paraId="5B5D9438" w14:textId="77777777" w:rsidR="00A7482E" w:rsidRPr="002A7D2C" w:rsidRDefault="00A7482E" w:rsidP="00A7482E">
      <w:pPr>
        <w:pStyle w:val="11Head-Bullet"/>
        <w:numPr>
          <w:ilvl w:val="0"/>
          <w:numId w:val="49"/>
        </w:numPr>
        <w:tabs>
          <w:tab w:val="clear" w:pos="720"/>
          <w:tab w:val="num" w:pos="810"/>
        </w:tabs>
        <w:ind w:left="810"/>
      </w:pPr>
      <w:r w:rsidRPr="002A7D2C">
        <w:t xml:space="preserve">Above 17.3 kV through 25 kV: three </w:t>
      </w:r>
    </w:p>
    <w:p w14:paraId="300C2134" w14:textId="77777777" w:rsidR="00A7482E" w:rsidRPr="002A7D2C" w:rsidRDefault="00A7482E" w:rsidP="00A7482E">
      <w:pPr>
        <w:pStyle w:val="11Head-Bullet"/>
        <w:numPr>
          <w:ilvl w:val="0"/>
          <w:numId w:val="49"/>
        </w:numPr>
        <w:tabs>
          <w:tab w:val="clear" w:pos="720"/>
          <w:tab w:val="num" w:pos="810"/>
        </w:tabs>
        <w:ind w:left="810"/>
      </w:pPr>
      <w:r w:rsidRPr="002A7D2C">
        <w:t>Above 25 kV through 38 kV: four</w:t>
      </w:r>
    </w:p>
    <w:p w14:paraId="4ECF3583" w14:textId="5450446D" w:rsidR="00A7482E" w:rsidRPr="00766794" w:rsidRDefault="00A7482E" w:rsidP="009F3A56">
      <w:pPr>
        <w:pStyle w:val="Heading2"/>
      </w:pPr>
      <w:r w:rsidRPr="00E54A8D">
        <w:rPr>
          <w:b/>
          <w:bCs/>
        </w:rPr>
        <w:lastRenderedPageBreak/>
        <w:t>Overload Protection</w:t>
      </w:r>
      <w:r w:rsidR="00E54A8D">
        <w:rPr>
          <w:b/>
          <w:bCs/>
        </w:rPr>
        <w:br/>
      </w:r>
      <w:r w:rsidRPr="00766794">
        <w:t>To prevent damage to the resistive elements from system anomalies or excessive harmonic content, each phase shall be protected by an adjustable overload protection relay with the following minimum features:</w:t>
      </w:r>
    </w:p>
    <w:p w14:paraId="7E44B276" w14:textId="77777777" w:rsidR="00A7482E" w:rsidRPr="00766794" w:rsidRDefault="00A7482E" w:rsidP="00A7482E">
      <w:pPr>
        <w:pStyle w:val="11Head-Bullet"/>
        <w:numPr>
          <w:ilvl w:val="0"/>
          <w:numId w:val="48"/>
        </w:numPr>
      </w:pPr>
      <w:r w:rsidRPr="00766794">
        <w:rPr>
          <w:b/>
          <w:bCs/>
        </w:rPr>
        <w:t>Thermal Overload</w:t>
      </w:r>
      <w:r w:rsidRPr="00766794">
        <w:t>: Protection based on a time dial and current pickup setting to model element heating.</w:t>
      </w:r>
    </w:p>
    <w:p w14:paraId="2C7F4AD6" w14:textId="77777777" w:rsidR="00A7482E" w:rsidRPr="00766794" w:rsidRDefault="00A7482E" w:rsidP="00A7482E">
      <w:pPr>
        <w:pStyle w:val="11Head-Bullet"/>
        <w:numPr>
          <w:ilvl w:val="0"/>
          <w:numId w:val="48"/>
        </w:numPr>
      </w:pPr>
      <w:r w:rsidRPr="00766794">
        <w:rPr>
          <w:b/>
          <w:bCs/>
        </w:rPr>
        <w:t>Long-Time Over-Current</w:t>
      </w:r>
      <w:r w:rsidRPr="00766794">
        <w:t>: Trip logic for sustained high-current transients (e.g., 5-second duration).</w:t>
      </w:r>
    </w:p>
    <w:p w14:paraId="2A66B1DC" w14:textId="77777777" w:rsidR="00A7482E" w:rsidRPr="00766794" w:rsidRDefault="00A7482E" w:rsidP="00A7482E">
      <w:pPr>
        <w:pStyle w:val="11Head-Bullet"/>
        <w:numPr>
          <w:ilvl w:val="0"/>
          <w:numId w:val="48"/>
        </w:numPr>
      </w:pPr>
      <w:r w:rsidRPr="00766794">
        <w:rPr>
          <w:b/>
          <w:bCs/>
        </w:rPr>
        <w:t>Short-Time Over-Current</w:t>
      </w:r>
      <w:r w:rsidRPr="00766794">
        <w:t>: Instantaneous or near-instantaneous trip logic for severe transients (e.g., 0.5-second duration).</w:t>
      </w:r>
    </w:p>
    <w:p w14:paraId="40C20EA7" w14:textId="77777777" w:rsidR="00A7482E" w:rsidRPr="00766794" w:rsidRDefault="00A7482E" w:rsidP="00A7482E">
      <w:pPr>
        <w:pStyle w:val="11Head-Bullet"/>
        <w:numPr>
          <w:ilvl w:val="0"/>
          <w:numId w:val="48"/>
        </w:numPr>
      </w:pPr>
      <w:r w:rsidRPr="00766794">
        <w:rPr>
          <w:b/>
          <w:bCs/>
        </w:rPr>
        <w:t>Monitoring and Diagnostics</w:t>
      </w:r>
      <w:r w:rsidRPr="00766794">
        <w:t>: The relay shall display real-time current for each phase and provide a latched indicator (target) identifying the specific cause of the overload trip to aid in troubleshooting.</w:t>
      </w:r>
    </w:p>
    <w:p w14:paraId="5FABF01A" w14:textId="77777777" w:rsidR="001C6011" w:rsidRPr="001C6011" w:rsidRDefault="001C6011" w:rsidP="001C6011">
      <w:pPr>
        <w:pStyle w:val="Heading1"/>
      </w:pPr>
      <w:r w:rsidRPr="001C6011">
        <w:t>CAPACITORS AND PROTECTION</w:t>
      </w:r>
    </w:p>
    <w:p w14:paraId="622711AD" w14:textId="39494FC7" w:rsidR="001C6011" w:rsidRPr="001C6011" w:rsidRDefault="001C6011" w:rsidP="00055CCE">
      <w:pPr>
        <w:pStyle w:val="Heading2"/>
      </w:pPr>
      <w:r w:rsidRPr="001C6011">
        <w:rPr>
          <w:b/>
          <w:bCs/>
        </w:rPr>
        <w:t>General Design and Construction</w:t>
      </w:r>
      <w:r>
        <w:rPr>
          <w:b/>
          <w:bCs/>
        </w:rPr>
        <w:br/>
      </w:r>
      <w:r w:rsidRPr="001C6011">
        <w:t>The harmonic filter bank shall be equipped with all-film, low-loss, harmonic-rated double-bushing capacitors.</w:t>
      </w:r>
    </w:p>
    <w:p w14:paraId="0FDDF9D6" w14:textId="76D4A873" w:rsidR="001C6011" w:rsidRPr="001C6011" w:rsidRDefault="001C6011" w:rsidP="001C6011">
      <w:pPr>
        <w:pStyle w:val="11Head-Bullet"/>
      </w:pPr>
      <w:r w:rsidRPr="00F93152">
        <w:rPr>
          <w:b/>
          <w:bCs/>
        </w:rPr>
        <w:t>Acceptable Manufacturers:</w:t>
      </w:r>
      <w:r w:rsidRPr="001C6011">
        <w:t xml:space="preserve"> Capacitors shall be manufactured by Hitachi, Eaton, or GE only. All other manufacturers </w:t>
      </w:r>
      <w:r w:rsidR="00F93152">
        <w:t>will not be accepted.</w:t>
      </w:r>
    </w:p>
    <w:p w14:paraId="51C62E01" w14:textId="38D6D7E3" w:rsidR="001C6011" w:rsidRPr="001C6011" w:rsidRDefault="001C6011" w:rsidP="00F22C7A">
      <w:pPr>
        <w:pStyle w:val="BodyTextIndent"/>
        <w:widowControl w:val="0"/>
        <w:numPr>
          <w:ilvl w:val="0"/>
          <w:numId w:val="2"/>
        </w:numPr>
        <w:tabs>
          <w:tab w:val="clear" w:pos="360"/>
          <w:tab w:val="num" w:pos="450"/>
          <w:tab w:val="num" w:pos="1800"/>
        </w:tabs>
        <w:ind w:left="450" w:right="540"/>
      </w:pPr>
      <w:r w:rsidRPr="001753B4">
        <w:rPr>
          <w:b/>
          <w:bCs/>
        </w:rPr>
        <w:t>Standards:</w:t>
      </w:r>
      <w:r w:rsidRPr="001C6011">
        <w:t xml:space="preserve"> </w:t>
      </w:r>
      <w:r w:rsidR="001753B4">
        <w:t>Capacitor u</w:t>
      </w:r>
      <w:r w:rsidRPr="001C6011">
        <w:t xml:space="preserve">nits shall be designed, manufactured, and tested to meet or exceed </w:t>
      </w:r>
      <w:r w:rsidR="001753B4" w:rsidRPr="001753B4">
        <w:rPr>
          <w:rFonts w:ascii="Aptos" w:hAnsi="Aptos"/>
          <w:color w:val="121212"/>
        </w:rPr>
        <w:t>IEEE 18-2025</w:t>
      </w:r>
      <w:r w:rsidR="001753B4">
        <w:rPr>
          <w:rFonts w:ascii="Aptos" w:hAnsi="Aptos"/>
          <w:color w:val="121212"/>
        </w:rPr>
        <w:t>,</w:t>
      </w:r>
      <w:r w:rsidR="001753B4" w:rsidRPr="001753B4">
        <w:rPr>
          <w:rFonts w:ascii="Aptos" w:hAnsi="Aptos"/>
          <w:color w:val="121212"/>
        </w:rPr>
        <w:t xml:space="preserve"> Standard for Shunt Power Capacitors</w:t>
      </w:r>
      <w:r w:rsidR="001753B4">
        <w:rPr>
          <w:rFonts w:ascii="Aptos" w:hAnsi="Aptos"/>
          <w:color w:val="121212"/>
        </w:rPr>
        <w:t>. For projects shipping to Canada, CSA C22.2 No. 190</w:t>
      </w:r>
      <w:r w:rsidR="00520897">
        <w:rPr>
          <w:rFonts w:ascii="Aptos" w:hAnsi="Aptos"/>
          <w:color w:val="121212"/>
        </w:rPr>
        <w:t>.</w:t>
      </w:r>
      <w:r w:rsidR="001753B4">
        <w:t xml:space="preserve"> </w:t>
      </w:r>
    </w:p>
    <w:p w14:paraId="3ADFBD19" w14:textId="77777777" w:rsidR="001C6011" w:rsidRPr="001C6011" w:rsidRDefault="001C6011" w:rsidP="001C6011">
      <w:pPr>
        <w:pStyle w:val="11Head-Bullet"/>
      </w:pPr>
      <w:r w:rsidRPr="0024096B">
        <w:rPr>
          <w:b/>
          <w:bCs/>
        </w:rPr>
        <w:t>Discharge Requirements:</w:t>
      </w:r>
      <w:r w:rsidRPr="001C6011">
        <w:t xml:space="preserve"> Each capacitor unit shall contain internal discharge resistors to reduce the stored residual voltage to 50 volts or less within 5 minutes of disconnection.</w:t>
      </w:r>
    </w:p>
    <w:p w14:paraId="34662EAA" w14:textId="58DD47E7" w:rsidR="001C6011" w:rsidRPr="001C6011" w:rsidRDefault="001C6011" w:rsidP="00055CCE">
      <w:pPr>
        <w:pStyle w:val="Heading2"/>
      </w:pPr>
      <w:r w:rsidRPr="001C6011">
        <w:rPr>
          <w:b/>
          <w:bCs/>
        </w:rPr>
        <w:t>Voltage Rating and Harmonic Duty</w:t>
      </w:r>
      <w:r>
        <w:rPr>
          <w:b/>
          <w:bCs/>
        </w:rPr>
        <w:br/>
      </w:r>
      <w:r w:rsidRPr="001C6011">
        <w:t>Capacitor voltage ratings shall be specifically increased for harmonic filter duty. The manufacturer shall provide data supporting the choice of voltage rating and net kvar output with the bid, considering the following:</w:t>
      </w:r>
    </w:p>
    <w:p w14:paraId="4F190DA4" w14:textId="77777777" w:rsidR="001C6011" w:rsidRPr="001C6011" w:rsidRDefault="001C6011" w:rsidP="001C6011">
      <w:pPr>
        <w:pStyle w:val="11Head-Bullet"/>
      </w:pPr>
      <w:r w:rsidRPr="00A214B6">
        <w:rPr>
          <w:b/>
          <w:bCs/>
        </w:rPr>
        <w:t>System Over-voltage:</w:t>
      </w:r>
      <w:r w:rsidRPr="001C6011">
        <w:t xml:space="preserve"> A continuous nominal system over-voltage of 110%.</w:t>
      </w:r>
    </w:p>
    <w:p w14:paraId="0F2D3D46" w14:textId="77777777" w:rsidR="001C6011" w:rsidRPr="001C6011" w:rsidRDefault="001C6011" w:rsidP="001C6011">
      <w:pPr>
        <w:pStyle w:val="11Head-Bullet"/>
      </w:pPr>
      <w:r w:rsidRPr="00A214B6">
        <w:rPr>
          <w:b/>
          <w:bCs/>
        </w:rPr>
        <w:t>Voltage Rise:</w:t>
      </w:r>
      <w:r w:rsidRPr="001C6011">
        <w:t xml:space="preserve"> The fundamental voltage rise across the capacitor caused by the series tuning reactor.</w:t>
      </w:r>
    </w:p>
    <w:p w14:paraId="55946119" w14:textId="332001B3" w:rsidR="001C6011" w:rsidRPr="001C6011" w:rsidRDefault="001C6011" w:rsidP="001C6011">
      <w:pPr>
        <w:pStyle w:val="11Head-Bullet"/>
      </w:pPr>
      <w:r w:rsidRPr="00A214B6">
        <w:rPr>
          <w:b/>
          <w:bCs/>
        </w:rPr>
        <w:t>Harmonic Content:</w:t>
      </w:r>
      <w:r w:rsidRPr="001C6011">
        <w:t xml:space="preserve"> The harmonic voltage rise </w:t>
      </w:r>
      <w:r w:rsidR="007832F1">
        <w:t xml:space="preserve">assuming </w:t>
      </w:r>
      <w:r w:rsidRPr="001C6011">
        <w:t>harmonic current peaks</w:t>
      </w:r>
      <w:r w:rsidR="007832F1">
        <w:t xml:space="preserve"> are</w:t>
      </w:r>
      <w:r w:rsidRPr="001C6011">
        <w:t xml:space="preserve"> 100% coincidence.</w:t>
      </w:r>
    </w:p>
    <w:p w14:paraId="385DDE8A" w14:textId="77777777" w:rsidR="001C6011" w:rsidRPr="001C6011" w:rsidRDefault="001C6011" w:rsidP="001C6011">
      <w:pPr>
        <w:pStyle w:val="11Head-Bullet"/>
      </w:pPr>
      <w:r w:rsidRPr="007832F1">
        <w:rPr>
          <w:b/>
          <w:bCs/>
        </w:rPr>
        <w:t>Distortion Limits:</w:t>
      </w:r>
      <w:r w:rsidRPr="001C6011">
        <w:t xml:space="preserve"> Ambient voltage distortion equal to the limits set forth in IEEE 519 (at the PCC) or values obtained during site measurements.</w:t>
      </w:r>
    </w:p>
    <w:p w14:paraId="042F218A" w14:textId="77777777" w:rsidR="001C6011" w:rsidRPr="001C6011" w:rsidRDefault="001C6011" w:rsidP="001C6011">
      <w:pPr>
        <w:pStyle w:val="11Head-Bullet"/>
      </w:pPr>
      <w:r w:rsidRPr="007832F1">
        <w:rPr>
          <w:b/>
          <w:bCs/>
        </w:rPr>
        <w:t>Simulation:</w:t>
      </w:r>
      <w:r w:rsidRPr="001C6011">
        <w:t xml:space="preserve"> Final capacitor selection shall be validated via harmonic simulation to ensure adherence to IEEE/ANSI peak (crest) and RMS voltage ratings.</w:t>
      </w:r>
    </w:p>
    <w:p w14:paraId="1F265099" w14:textId="41C05F60" w:rsidR="001C6011" w:rsidRDefault="001C6011" w:rsidP="001C6011">
      <w:pPr>
        <w:pStyle w:val="11Head-Bullet"/>
      </w:pPr>
      <w:r w:rsidRPr="007832F1">
        <w:rPr>
          <w:b/>
          <w:bCs/>
        </w:rPr>
        <w:t>Reliability Option</w:t>
      </w:r>
      <w:r w:rsidRPr="001C6011">
        <w:t>: Consider a further 10% voltage margin above the harmonic design for increased reliability</w:t>
      </w:r>
      <w:r w:rsidR="00CC5ED2">
        <w:t>.</w:t>
      </w:r>
    </w:p>
    <w:p w14:paraId="1BEED088" w14:textId="37250DE7" w:rsidR="001C6011" w:rsidRPr="00FA67A8" w:rsidRDefault="001C6011" w:rsidP="00055CCE">
      <w:pPr>
        <w:pStyle w:val="Heading2"/>
        <w:rPr>
          <w:b/>
          <w:bCs/>
        </w:rPr>
      </w:pPr>
      <w:r w:rsidRPr="00FA67A8">
        <w:rPr>
          <w:b/>
          <w:bCs/>
        </w:rPr>
        <w:t>Mechanical Installation</w:t>
      </w:r>
    </w:p>
    <w:p w14:paraId="33C2A7CE" w14:textId="2A5760B7" w:rsidR="001C6011" w:rsidRPr="001C6011" w:rsidRDefault="001C6011" w:rsidP="001C6011">
      <w:pPr>
        <w:pStyle w:val="11Head-Bullet"/>
      </w:pPr>
      <w:r w:rsidRPr="00CC5ED2">
        <w:rPr>
          <w:b/>
          <w:bCs/>
        </w:rPr>
        <w:t>Compartmentalization:</w:t>
      </w:r>
      <w:r w:rsidRPr="001C6011">
        <w:t xml:space="preserve"> Capacitors shall be located in a dedicated compartment, physically separated from the main incoming fuse</w:t>
      </w:r>
      <w:r w:rsidR="00CC5ED2">
        <w:t>, control,</w:t>
      </w:r>
      <w:r w:rsidRPr="001C6011">
        <w:t xml:space="preserve"> and </w:t>
      </w:r>
      <w:r w:rsidR="00CC5ED2">
        <w:t xml:space="preserve">incoming </w:t>
      </w:r>
      <w:r w:rsidRPr="001C6011">
        <w:t>air-disconnec</w:t>
      </w:r>
      <w:r w:rsidR="00CC5ED2">
        <w:t>t</w:t>
      </w:r>
      <w:r w:rsidRPr="001C6011">
        <w:t xml:space="preserve"> switch</w:t>
      </w:r>
      <w:r w:rsidR="00CC5ED2">
        <w:t xml:space="preserve"> or incoming main breaker</w:t>
      </w:r>
      <w:r w:rsidRPr="001C6011">
        <w:t xml:space="preserve"> compartments.</w:t>
      </w:r>
      <w:r w:rsidR="00C97DBF">
        <w:t xml:space="preserve"> They may be mounted </w:t>
      </w:r>
      <w:r w:rsidR="00C55B65">
        <w:t xml:space="preserve">near and in the same compartment as the tuning </w:t>
      </w:r>
      <w:r w:rsidR="00C97DBF">
        <w:t>reactors and the branch switching device.</w:t>
      </w:r>
    </w:p>
    <w:p w14:paraId="4DAC5EBB" w14:textId="53A2E6C1" w:rsidR="001C6011" w:rsidRPr="001C6011" w:rsidRDefault="001C6011" w:rsidP="001C6011">
      <w:pPr>
        <w:pStyle w:val="11Head-Bullet"/>
      </w:pPr>
      <w:r w:rsidRPr="00CC5ED2">
        <w:rPr>
          <w:b/>
          <w:bCs/>
        </w:rPr>
        <w:t>Mounting</w:t>
      </w:r>
      <w:r w:rsidRPr="001C6011">
        <w:rPr>
          <w:b/>
          <w:bCs/>
        </w:rPr>
        <w:t>:</w:t>
      </w:r>
      <w:r w:rsidRPr="001C6011">
        <w:t xml:space="preserve"> Units shall be mounted horizontally </w:t>
      </w:r>
      <w:r w:rsidR="00CC5ED2">
        <w:t xml:space="preserve">or vertically </w:t>
      </w:r>
      <w:r w:rsidRPr="001C6011">
        <w:t>on</w:t>
      </w:r>
      <w:r w:rsidRPr="00CC5ED2">
        <w:t xml:space="preserve"> C4x5.4</w:t>
      </w:r>
      <w:r w:rsidRPr="001C6011">
        <w:t xml:space="preserve"> structural steel channels. The design shall allow for easy removal of units from the front of the enclosure.</w:t>
      </w:r>
    </w:p>
    <w:p w14:paraId="68BAFE0E" w14:textId="107484DF" w:rsidR="001C6011" w:rsidRPr="00CC5ED2" w:rsidRDefault="001C6011" w:rsidP="00055CCE">
      <w:pPr>
        <w:pStyle w:val="Heading2"/>
      </w:pPr>
      <w:r w:rsidRPr="001C6011">
        <w:rPr>
          <w:b/>
          <w:bCs/>
        </w:rPr>
        <w:t>Capacitor Branch Protection</w:t>
      </w:r>
      <w:r>
        <w:rPr>
          <w:b/>
          <w:bCs/>
        </w:rPr>
        <w:br/>
      </w:r>
      <w:r w:rsidRPr="001C6011">
        <w:t>Each capacitor unit shall be protected by a high-voltage, current-</w:t>
      </w:r>
      <w:r w:rsidRPr="00CC5ED2">
        <w:t>limiting SIBA fuse equipped with a striker-pin blown fuse indicator.</w:t>
      </w:r>
    </w:p>
    <w:p w14:paraId="68B13BEC" w14:textId="77777777" w:rsidR="001C6011" w:rsidRPr="001C6011" w:rsidRDefault="001C6011" w:rsidP="001C6011">
      <w:pPr>
        <w:pStyle w:val="11Head-Bullet"/>
      </w:pPr>
      <w:r w:rsidRPr="00AD40D4">
        <w:rPr>
          <w:b/>
          <w:bCs/>
        </w:rPr>
        <w:t>Fuse Sizing:</w:t>
      </w:r>
      <w:r w:rsidRPr="001C6011">
        <w:t xml:space="preserve"> The current rating shall be approximately 2.0 times the nominal phase current of the capacitor.</w:t>
      </w:r>
    </w:p>
    <w:p w14:paraId="7254A898" w14:textId="77777777" w:rsidR="001C6011" w:rsidRPr="001C6011" w:rsidRDefault="001C6011" w:rsidP="001C6011">
      <w:pPr>
        <w:pStyle w:val="11Head-Bullet"/>
      </w:pPr>
      <w:r w:rsidRPr="00AD40D4">
        <w:rPr>
          <w:b/>
          <w:bCs/>
        </w:rPr>
        <w:lastRenderedPageBreak/>
        <w:t>Fuse Voltage:</w:t>
      </w:r>
      <w:r w:rsidRPr="001C6011">
        <w:t xml:space="preserve"> For grounded-wye banks, the rating shall be at least 1.0x phase-to-ground voltage. For ungrounded banks, the rating shall be at least 1.1x phase-to-ground voltage.</w:t>
      </w:r>
    </w:p>
    <w:p w14:paraId="34D4C395" w14:textId="70F6749B" w:rsidR="001C6011" w:rsidRPr="001C6011" w:rsidRDefault="001C6011" w:rsidP="001C6011">
      <w:pPr>
        <w:pStyle w:val="11Head-Bullet"/>
      </w:pPr>
      <w:r w:rsidRPr="00AD40D4">
        <w:rPr>
          <w:b/>
          <w:bCs/>
        </w:rPr>
        <w:t>Direct Fuse Sensing:</w:t>
      </w:r>
      <w:r w:rsidRPr="001C6011">
        <w:t xml:space="preserve"> The protection system shall utilize a SIBA direct fuse sensing system (utilizing microswitches and</w:t>
      </w:r>
      <w:r w:rsidR="00F663DE">
        <w:t xml:space="preserve"> a</w:t>
      </w:r>
      <w:r w:rsidRPr="001C6011">
        <w:t xml:space="preserve"> Bowden </w:t>
      </w:r>
      <w:r w:rsidR="00F663DE">
        <w:t>cable)</w:t>
      </w:r>
      <w:r w:rsidRPr="001C6011">
        <w:t xml:space="preserve"> to detect both blown </w:t>
      </w:r>
      <w:r w:rsidR="00F663DE">
        <w:t xml:space="preserve">fuse </w:t>
      </w:r>
      <w:r w:rsidRPr="001C6011">
        <w:t>and overloaded fuse conditions.</w:t>
      </w:r>
    </w:p>
    <w:p w14:paraId="6160086A" w14:textId="0C05BA96" w:rsidR="001C6011" w:rsidRDefault="001C6011" w:rsidP="001C6011">
      <w:pPr>
        <w:pStyle w:val="11Head-Bullet"/>
      </w:pPr>
      <w:r w:rsidRPr="00F663DE">
        <w:rPr>
          <w:b/>
          <w:bCs/>
        </w:rPr>
        <w:t>Operational Logic:</w:t>
      </w:r>
      <w:r w:rsidRPr="001C6011">
        <w:t xml:space="preserve"> Any detected fuse </w:t>
      </w:r>
      <w:r w:rsidR="00DE2C11">
        <w:t xml:space="preserve">operation </w:t>
      </w:r>
      <w:r w:rsidRPr="001C6011">
        <w:t>shall result in the control system taking the affected filter stage (and any other appropriate stage</w:t>
      </w:r>
      <w:r w:rsidR="00DB129B">
        <w:t xml:space="preserve"> due</w:t>
      </w:r>
      <w:r w:rsidR="00DE2C11">
        <w:t xml:space="preserve"> resonance concerns – typical of multi-tuned harmonic filter systems</w:t>
      </w:r>
      <w:r w:rsidRPr="001C6011">
        <w:t xml:space="preserve">) offline immediately to prevent de-tuning or </w:t>
      </w:r>
      <w:r w:rsidR="00DE2C11">
        <w:t xml:space="preserve">damage from neutral voltage shift. </w:t>
      </w:r>
    </w:p>
    <w:p w14:paraId="3C2FA9D1" w14:textId="742BCEB6" w:rsidR="001C6011" w:rsidRPr="00802268" w:rsidRDefault="001C6011" w:rsidP="00055CCE">
      <w:pPr>
        <w:pStyle w:val="Heading2"/>
        <w:rPr>
          <w:b/>
          <w:bCs/>
        </w:rPr>
      </w:pPr>
      <w:r w:rsidRPr="00802268">
        <w:rPr>
          <w:b/>
          <w:bCs/>
        </w:rPr>
        <w:t xml:space="preserve">Unbalance Detection </w:t>
      </w:r>
      <w:r w:rsidR="00DB129B" w:rsidRPr="00802268">
        <w:rPr>
          <w:b/>
          <w:bCs/>
        </w:rPr>
        <w:t>Relay</w:t>
      </w:r>
    </w:p>
    <w:p w14:paraId="0B929291" w14:textId="77777777" w:rsidR="001C6011" w:rsidRPr="001C6011" w:rsidRDefault="001C6011" w:rsidP="001C6011">
      <w:pPr>
        <w:pStyle w:val="11Head-Bullet"/>
      </w:pPr>
      <w:r w:rsidRPr="001C6011">
        <w:rPr>
          <w:b/>
          <w:bCs/>
        </w:rPr>
        <w:t>Split-Wye Neutral Current Detec</w:t>
      </w:r>
      <w:r w:rsidRPr="00DB129B">
        <w:rPr>
          <w:b/>
          <w:bCs/>
        </w:rPr>
        <w:t>tion</w:t>
      </w:r>
      <w:r w:rsidRPr="001C6011">
        <w:t xml:space="preserve"> (Optional): When neutral unbalance protection is specified, it shall utilize a split-wye neutral current detection system. Neutral voltage detection systems are prohibited due to TRV and false-tripping concerns.</w:t>
      </w:r>
    </w:p>
    <w:p w14:paraId="110D7DC6" w14:textId="286D6C9A" w:rsidR="001C6011" w:rsidRPr="001C6011" w:rsidRDefault="001C6011" w:rsidP="001C6011">
      <w:pPr>
        <w:pStyle w:val="11Head-Bullet"/>
      </w:pPr>
      <w:r w:rsidRPr="00DB129B">
        <w:rPr>
          <w:b/>
          <w:bCs/>
        </w:rPr>
        <w:t>Relay Calibration:</w:t>
      </w:r>
      <w:r w:rsidRPr="001C6011">
        <w:t xml:space="preserve"> </w:t>
      </w:r>
      <w:r w:rsidR="00F83295" w:rsidRPr="001C6011">
        <w:t>All unbalance relays shall be</w:t>
      </w:r>
      <w:r w:rsidR="00F83295">
        <w:t xml:space="preserve"> set and ready for operation. F</w:t>
      </w:r>
      <w:r w:rsidR="00F83295" w:rsidRPr="001C6011">
        <w:t>actory test report</w:t>
      </w:r>
      <w:r w:rsidR="00F83295">
        <w:t>s</w:t>
      </w:r>
      <w:r w:rsidR="00F83295" w:rsidRPr="001C6011">
        <w:t xml:space="preserve"> and setting sheet</w:t>
      </w:r>
      <w:r w:rsidR="00F83295">
        <w:t>s shall be provided.</w:t>
      </w:r>
    </w:p>
    <w:p w14:paraId="4D9ED824" w14:textId="6AB29C8C" w:rsidR="001C6011" w:rsidRPr="001C6011" w:rsidRDefault="001C6011" w:rsidP="00055CCE">
      <w:pPr>
        <w:pStyle w:val="Heading2"/>
      </w:pPr>
      <w:r w:rsidRPr="003B5144">
        <w:rPr>
          <w:b/>
          <w:bCs/>
        </w:rPr>
        <w:t>Visual Indication:</w:t>
      </w:r>
      <w:r w:rsidR="008C5597">
        <w:rPr>
          <w:b/>
          <w:bCs/>
        </w:rPr>
        <w:br/>
      </w:r>
      <w:r w:rsidRPr="001C6011">
        <w:t xml:space="preserve">A rooftop-mounted </w:t>
      </w:r>
      <w:r w:rsidRPr="008C5597">
        <w:t>NEMA 4X strobe light</w:t>
      </w:r>
      <w:r w:rsidRPr="001C6011">
        <w:t xml:space="preserve"> shall provide external indication of a blown fuse. The strobe shall flash at 80 pulses per minute with a peak candlepower of 175,000.</w:t>
      </w:r>
    </w:p>
    <w:p w14:paraId="5488F6FF" w14:textId="2904374C" w:rsidR="005C7300" w:rsidRPr="005C7300" w:rsidRDefault="005C7300" w:rsidP="005C7300">
      <w:pPr>
        <w:pStyle w:val="Heading1"/>
      </w:pPr>
      <w:r>
        <w:t>L</w:t>
      </w:r>
      <w:r w:rsidRPr="005C7300">
        <w:t>IGHTNING</w:t>
      </w:r>
      <w:r>
        <w:t xml:space="preserve"> / </w:t>
      </w:r>
      <w:r w:rsidRPr="005C7300">
        <w:t>SURGE ARRESTERS</w:t>
      </w:r>
    </w:p>
    <w:p w14:paraId="25788A5A" w14:textId="0BB5705B" w:rsidR="005C7300" w:rsidRPr="005C7300" w:rsidRDefault="005C7300" w:rsidP="00055CCE">
      <w:pPr>
        <w:pStyle w:val="Heading2"/>
      </w:pPr>
      <w:r w:rsidRPr="005C7300">
        <w:rPr>
          <w:b/>
          <w:bCs/>
        </w:rPr>
        <w:t>Protective Classification</w:t>
      </w:r>
      <w:r>
        <w:br/>
      </w:r>
      <w:r w:rsidRPr="005C7300">
        <w:t>The</w:t>
      </w:r>
      <w:r w:rsidR="00783687">
        <w:t xml:space="preserve"> harmonic filter shall </w:t>
      </w:r>
      <w:r w:rsidRPr="005C7300">
        <w:t xml:space="preserve">be equipped with </w:t>
      </w:r>
      <w:r w:rsidR="00BA6340">
        <w:t xml:space="preserve">station class </w:t>
      </w:r>
      <w:r w:rsidRPr="005C7300">
        <w:t>surge arresters to provide primary overvoltage protection against atmospheric lightning strikes and system switching transients.</w:t>
      </w:r>
    </w:p>
    <w:p w14:paraId="1C605FE3" w14:textId="3FC2B343" w:rsidR="005C7300" w:rsidRPr="00802268" w:rsidRDefault="005C7300" w:rsidP="00055CCE">
      <w:pPr>
        <w:pStyle w:val="Heading2"/>
        <w:rPr>
          <w:b/>
          <w:bCs/>
        </w:rPr>
      </w:pPr>
      <w:r w:rsidRPr="00802268">
        <w:rPr>
          <w:b/>
          <w:bCs/>
        </w:rPr>
        <w:t>Sizing and Coordination</w:t>
      </w:r>
    </w:p>
    <w:p w14:paraId="384B3BFE" w14:textId="40814898" w:rsidR="005C7300" w:rsidRPr="005C7300" w:rsidRDefault="005C7300" w:rsidP="00E20A5A">
      <w:pPr>
        <w:pStyle w:val="11Head-Bullet"/>
        <w:numPr>
          <w:ilvl w:val="0"/>
          <w:numId w:val="7"/>
        </w:numPr>
      </w:pPr>
      <w:r w:rsidRPr="005C7300">
        <w:rPr>
          <w:b/>
          <w:bCs/>
        </w:rPr>
        <w:t>Responsibility:</w:t>
      </w:r>
      <w:r w:rsidRPr="005C7300">
        <w:t xml:space="preserve"> The specific voltage and energy discharge ratings of the arresters shall be determined and recommended by the</w:t>
      </w:r>
      <w:r w:rsidR="00BA6340">
        <w:t xml:space="preserve"> filter bank manufacturer</w:t>
      </w:r>
      <w:r w:rsidRPr="005C7300">
        <w:t>.</w:t>
      </w:r>
    </w:p>
    <w:p w14:paraId="39493F6A" w14:textId="18886F69" w:rsidR="005C7300" w:rsidRDefault="005C7300" w:rsidP="00E20A5A">
      <w:pPr>
        <w:pStyle w:val="11Head-Bullet"/>
        <w:numPr>
          <w:ilvl w:val="0"/>
          <w:numId w:val="7"/>
        </w:numPr>
      </w:pPr>
      <w:r w:rsidRPr="005C7300">
        <w:rPr>
          <w:b/>
          <w:bCs/>
        </w:rPr>
        <w:t>Selection Criteria:</w:t>
      </w:r>
      <w:r w:rsidRPr="005C7300">
        <w:t xml:space="preserve"> </w:t>
      </w:r>
      <w:r w:rsidR="00355B29" w:rsidRPr="005C7300">
        <w:t xml:space="preserve">The selection shall ensure proper insulation coordination with the </w:t>
      </w:r>
      <w:r w:rsidR="00355B29">
        <w:t xml:space="preserve">equipment BIL </w:t>
      </w:r>
      <w:r w:rsidR="00355B29" w:rsidRPr="005C7300">
        <w:t>and the specific grounding configuration (solidly grounded, ungrounded, or resistance grounded) of the host utility or facility power system.</w:t>
      </w:r>
    </w:p>
    <w:p w14:paraId="72143A46" w14:textId="3E52D106" w:rsidR="00AA4DE3" w:rsidRPr="00AA4DE3" w:rsidRDefault="00AA4DE3" w:rsidP="00AA4DE3">
      <w:pPr>
        <w:pStyle w:val="Heading1"/>
      </w:pPr>
      <w:r w:rsidRPr="00AA4DE3">
        <w:t>PHASE AND GROUND BUS</w:t>
      </w:r>
    </w:p>
    <w:p w14:paraId="335149CF" w14:textId="410335AC" w:rsidR="00AA4DE3" w:rsidRPr="00AA4DE3" w:rsidRDefault="00AA4DE3" w:rsidP="00055CCE">
      <w:pPr>
        <w:pStyle w:val="Heading2"/>
      </w:pPr>
      <w:r w:rsidRPr="00AA4DE3">
        <w:rPr>
          <w:b/>
          <w:bCs/>
        </w:rPr>
        <w:t>Material and Plating</w:t>
      </w:r>
      <w:r>
        <w:br/>
      </w:r>
      <w:r w:rsidRPr="00AA4DE3">
        <w:t xml:space="preserve">All primary phase and ground busbars shall be fabricated from high-conductivity copper and </w:t>
      </w:r>
      <w:r w:rsidRPr="00AA4DE3">
        <w:rPr>
          <w:b/>
          <w:bCs/>
        </w:rPr>
        <w:t>tin-plated</w:t>
      </w:r>
      <w:r w:rsidRPr="00AA4DE3">
        <w:t xml:space="preserve"> at all contact surfaces and throughout their length to ensure maximum conductivity and long-term corrosion resistance.</w:t>
      </w:r>
    </w:p>
    <w:p w14:paraId="3E406E4D" w14:textId="471D6359" w:rsidR="00AA4DE3" w:rsidRPr="00AA4DE3" w:rsidRDefault="00AA4DE3" w:rsidP="00055CCE">
      <w:pPr>
        <w:pStyle w:val="Heading2"/>
      </w:pPr>
      <w:r w:rsidRPr="00AA4DE3">
        <w:rPr>
          <w:b/>
          <w:bCs/>
        </w:rPr>
        <w:t>Bolted Connections and Hardware</w:t>
      </w:r>
      <w:r>
        <w:br/>
      </w:r>
      <w:r w:rsidRPr="00AA4DE3">
        <w:t>All bus-to-bus bolted joints shall be secured using 3/8” – 16 stainless steel hardware to ensure consistent contact pressure. Each bolted connection shall include:</w:t>
      </w:r>
    </w:p>
    <w:p w14:paraId="48D45B63" w14:textId="77777777" w:rsidR="00AA4DE3" w:rsidRPr="00AA4DE3" w:rsidRDefault="00AA4DE3" w:rsidP="00E20A5A">
      <w:pPr>
        <w:pStyle w:val="11Head-Bullet"/>
        <w:numPr>
          <w:ilvl w:val="0"/>
          <w:numId w:val="8"/>
        </w:numPr>
      </w:pPr>
      <w:r w:rsidRPr="00AA4DE3">
        <w:t>One (1) stainless steel bolt.</w:t>
      </w:r>
    </w:p>
    <w:p w14:paraId="15C2AF85" w14:textId="77777777" w:rsidR="00AA4DE3" w:rsidRPr="00AA4DE3" w:rsidRDefault="00AA4DE3" w:rsidP="00E20A5A">
      <w:pPr>
        <w:pStyle w:val="11Head-Bullet"/>
        <w:numPr>
          <w:ilvl w:val="0"/>
          <w:numId w:val="8"/>
        </w:numPr>
      </w:pPr>
      <w:r w:rsidRPr="00AA4DE3">
        <w:t>Two (2) stainless steel flat washers (one under the bolt head, one under the nut).</w:t>
      </w:r>
    </w:p>
    <w:p w14:paraId="68D450E3" w14:textId="77777777" w:rsidR="00AA4DE3" w:rsidRPr="00AA4DE3" w:rsidRDefault="00AA4DE3" w:rsidP="00E20A5A">
      <w:pPr>
        <w:pStyle w:val="11Head-Bullet"/>
        <w:numPr>
          <w:ilvl w:val="0"/>
          <w:numId w:val="8"/>
        </w:numPr>
      </w:pPr>
      <w:r w:rsidRPr="00AA4DE3">
        <w:t>One (1) stainless steel split lockwasher (positioned between the flat washer and the nut).</w:t>
      </w:r>
    </w:p>
    <w:p w14:paraId="343010EC" w14:textId="77777777" w:rsidR="00AA4DE3" w:rsidRDefault="00AA4DE3" w:rsidP="00E20A5A">
      <w:pPr>
        <w:pStyle w:val="11Head-Bullet"/>
        <w:numPr>
          <w:ilvl w:val="0"/>
          <w:numId w:val="8"/>
        </w:numPr>
      </w:pPr>
      <w:r w:rsidRPr="00AA4DE3">
        <w:t>One (1) stainless steel nut.</w:t>
      </w:r>
    </w:p>
    <w:p w14:paraId="12BBB52D" w14:textId="77777777" w:rsidR="0049224A" w:rsidRDefault="0049224A" w:rsidP="0049224A">
      <w:pPr>
        <w:pStyle w:val="11Head-Bullet"/>
        <w:numPr>
          <w:ilvl w:val="0"/>
          <w:numId w:val="0"/>
        </w:numPr>
        <w:ind w:left="720"/>
      </w:pPr>
    </w:p>
    <w:p w14:paraId="33619A86" w14:textId="77777777" w:rsidR="0049224A" w:rsidRPr="00AA4DE3" w:rsidRDefault="0049224A" w:rsidP="0049224A">
      <w:pPr>
        <w:pStyle w:val="11Head-Bullet"/>
        <w:numPr>
          <w:ilvl w:val="0"/>
          <w:numId w:val="0"/>
        </w:numPr>
        <w:ind w:left="720"/>
      </w:pPr>
    </w:p>
    <w:p w14:paraId="3305FC43" w14:textId="3E5EDE19" w:rsidR="00AA4DE3" w:rsidRPr="00767FAE" w:rsidRDefault="00AA4DE3" w:rsidP="00055CCE">
      <w:pPr>
        <w:pStyle w:val="Heading2"/>
        <w:rPr>
          <w:b/>
          <w:bCs/>
        </w:rPr>
      </w:pPr>
      <w:r w:rsidRPr="00767FAE">
        <w:rPr>
          <w:b/>
          <w:bCs/>
        </w:rPr>
        <w:lastRenderedPageBreak/>
        <w:t>Electrical and Thermal Ratings</w:t>
      </w:r>
    </w:p>
    <w:p w14:paraId="07AB579B" w14:textId="4F98249C" w:rsidR="00AA4DE3" w:rsidRPr="00AA4DE3" w:rsidRDefault="00AA4DE3" w:rsidP="00E20A5A">
      <w:pPr>
        <w:pStyle w:val="11Head-Bullet"/>
        <w:numPr>
          <w:ilvl w:val="0"/>
          <w:numId w:val="9"/>
        </w:numPr>
      </w:pPr>
      <w:r w:rsidRPr="00AA4DE3">
        <w:rPr>
          <w:b/>
          <w:bCs/>
        </w:rPr>
        <w:t>Current Density:</w:t>
      </w:r>
      <w:r w:rsidRPr="00AA4DE3">
        <w:t xml:space="preserve"> The bus system shall be sized such that the current density does not exceed 1200 Amps per square inch at the maximum continuous rating of the bank.</w:t>
      </w:r>
    </w:p>
    <w:p w14:paraId="534C90CD" w14:textId="11487BA2" w:rsidR="00AA4DE3" w:rsidRDefault="00AA4DE3" w:rsidP="00E20A5A">
      <w:pPr>
        <w:pStyle w:val="11Head-Bullet"/>
        <w:numPr>
          <w:ilvl w:val="0"/>
          <w:numId w:val="9"/>
        </w:numPr>
      </w:pPr>
      <w:r w:rsidRPr="00AA4DE3">
        <w:rPr>
          <w:b/>
          <w:bCs/>
        </w:rPr>
        <w:t>Expansion Capability:</w:t>
      </w:r>
      <w:r w:rsidRPr="00AA4DE3">
        <w:t xml:space="preserve"> Where future expansion is specified or required, the buswork shall be rated for the maximum ultimate capacity of the shunt </w:t>
      </w:r>
      <w:r w:rsidR="009F291E">
        <w:t>filter bank</w:t>
      </w:r>
      <w:r w:rsidRPr="00AA4DE3">
        <w:t>.</w:t>
      </w:r>
    </w:p>
    <w:p w14:paraId="504D99FE" w14:textId="4CB82012" w:rsidR="00AA4DE3" w:rsidRDefault="00AA4DE3" w:rsidP="00055CCE">
      <w:pPr>
        <w:pStyle w:val="Heading2"/>
      </w:pPr>
      <w:r w:rsidRPr="00AA4DE3">
        <w:rPr>
          <w:b/>
          <w:bCs/>
        </w:rPr>
        <w:t>Mechanical Strength and Short-Circuit Withstand</w:t>
      </w:r>
      <w:r w:rsidRPr="00AA4DE3">
        <w:rPr>
          <w:b/>
          <w:bCs/>
        </w:rPr>
        <w:br/>
      </w:r>
      <w:r w:rsidRPr="00AA4DE3">
        <w:t xml:space="preserve">The busbars, primary interconnections, and their associated supports (insulators) shall be mechanically engineered to withstand the electromagnetic stresses associated with the specified peak available short-circuit current at the terminals of the shunt </w:t>
      </w:r>
      <w:r w:rsidR="009F291E">
        <w:t>filter bank</w:t>
      </w:r>
      <w:r w:rsidRPr="00AA4DE3">
        <w:t>.</w:t>
      </w:r>
    </w:p>
    <w:p w14:paraId="204EBABD" w14:textId="332D2562" w:rsidR="00A073EE" w:rsidRPr="00A073EE" w:rsidRDefault="00A073EE" w:rsidP="00A073EE">
      <w:pPr>
        <w:pStyle w:val="Heading1"/>
      </w:pPr>
      <w:r w:rsidRPr="00A073EE">
        <w:t>KEYED INTERLOCK SYSTEM</w:t>
      </w:r>
    </w:p>
    <w:p w14:paraId="075EB1FD" w14:textId="48D76CA3" w:rsidR="00A073EE" w:rsidRPr="00A073EE" w:rsidRDefault="00A073EE" w:rsidP="00055CCE">
      <w:pPr>
        <w:pStyle w:val="Heading2"/>
      </w:pPr>
      <w:r w:rsidRPr="00A073EE">
        <w:rPr>
          <w:b/>
          <w:bCs/>
        </w:rPr>
        <w:t>General Requirements</w:t>
      </w:r>
      <w:r>
        <w:rPr>
          <w:b/>
          <w:bCs/>
        </w:rPr>
        <w:br/>
      </w:r>
      <w:r w:rsidRPr="00A073EE">
        <w:t xml:space="preserve">The shunt </w:t>
      </w:r>
      <w:r w:rsidR="009F291E">
        <w:t>filter bank</w:t>
      </w:r>
      <w:r w:rsidRPr="00A073EE">
        <w:t xml:space="preserve"> shall be equipped with a comprehensive trapped-key interlock system. This system is mandatory to enforce a strict safety sequence, preventing unauthorized entry and ensuring that all high-voltage components are de-energized and grounded before enclosure doors can be opened.</w:t>
      </w:r>
    </w:p>
    <w:p w14:paraId="56DEFBC5" w14:textId="58801E04" w:rsidR="00A073EE" w:rsidRPr="00A073EE" w:rsidRDefault="00A073EE" w:rsidP="00055CCE">
      <w:pPr>
        <w:pStyle w:val="Heading2"/>
      </w:pPr>
      <w:r w:rsidRPr="00A073EE">
        <w:t>System Configuration and Hardware</w:t>
      </w:r>
    </w:p>
    <w:p w14:paraId="436D8BA2" w14:textId="77777777" w:rsidR="00A073EE" w:rsidRPr="00A073EE" w:rsidRDefault="00A073EE" w:rsidP="00A073EE">
      <w:pPr>
        <w:pStyle w:val="11Head-Bullet"/>
      </w:pPr>
      <w:r w:rsidRPr="00A073EE">
        <w:rPr>
          <w:b/>
          <w:bCs/>
        </w:rPr>
        <w:t>Mounting:</w:t>
      </w:r>
      <w:r w:rsidRPr="00A073EE">
        <w:t xml:space="preserve"> Keyed interlocks shall be mounted behind the enclosure doors, with only the key cylinders protruding through the door face.</w:t>
      </w:r>
    </w:p>
    <w:p w14:paraId="5C92A23D" w14:textId="77777777" w:rsidR="00A073EE" w:rsidRPr="00A073EE" w:rsidRDefault="00A073EE" w:rsidP="00A073EE">
      <w:pPr>
        <w:pStyle w:val="11Head-Bullet"/>
      </w:pPr>
      <w:r w:rsidRPr="00A073EE">
        <w:rPr>
          <w:b/>
          <w:bCs/>
        </w:rPr>
        <w:t>Environmental Protection:</w:t>
      </w:r>
      <w:r w:rsidRPr="00A073EE">
        <w:t xml:space="preserve"> All lock cylinders shall be equipped with stainless steel spring-loaded covers to protect against debris and moisture.</w:t>
      </w:r>
    </w:p>
    <w:p w14:paraId="0066D694" w14:textId="77777777" w:rsidR="00A073EE" w:rsidRDefault="00A073EE" w:rsidP="00A073EE">
      <w:pPr>
        <w:pStyle w:val="11Head-Bullet"/>
      </w:pPr>
      <w:r w:rsidRPr="00A073EE">
        <w:rPr>
          <w:b/>
          <w:bCs/>
        </w:rPr>
        <w:t>Design Restrictions:</w:t>
      </w:r>
      <w:r w:rsidRPr="00A073EE">
        <w:t xml:space="preserve"> The system shall allow all doors to be opened simultaneously once the sequence is initiated. Master key interchanges and externally mounted (surface-mounted) interlocks are prohibited.</w:t>
      </w:r>
    </w:p>
    <w:p w14:paraId="0442AC22" w14:textId="2F5C7CF4" w:rsidR="00A073EE" w:rsidRPr="00A073EE" w:rsidRDefault="00A073EE" w:rsidP="00055CCE">
      <w:pPr>
        <w:pStyle w:val="Heading2"/>
      </w:pPr>
      <w:r w:rsidRPr="00A073EE">
        <w:rPr>
          <w:b/>
          <w:bCs/>
        </w:rPr>
        <w:t>Sequential Interlock Logic</w:t>
      </w:r>
      <w:r w:rsidRPr="00A073EE">
        <w:t xml:space="preserve"> The interlock scheme shall encompass the upstream protective device (where applicable), the main air-disconnect switch</w:t>
      </w:r>
      <w:r w:rsidR="008F4F0C">
        <w:t xml:space="preserve"> (or main breaker if used)</w:t>
      </w:r>
      <w:r w:rsidRPr="00A073EE">
        <w:t>, the ground switch, and all enclosure doors. The mandatory operating sequence shall be as follows:</w:t>
      </w:r>
    </w:p>
    <w:p w14:paraId="0CD248F5" w14:textId="021FBEC0" w:rsidR="00A073EE" w:rsidRPr="00A073EE" w:rsidRDefault="00A073EE" w:rsidP="00E20A5A">
      <w:pPr>
        <w:numPr>
          <w:ilvl w:val="0"/>
          <w:numId w:val="10"/>
        </w:numPr>
        <w:rPr>
          <w:rFonts w:ascii="Aptos" w:hAnsi="Aptos"/>
          <w:sz w:val="20"/>
          <w:szCs w:val="20"/>
        </w:rPr>
      </w:pPr>
      <w:r w:rsidRPr="00A073EE">
        <w:rPr>
          <w:rFonts w:ascii="Aptos" w:hAnsi="Aptos"/>
          <w:b/>
          <w:bCs/>
          <w:sz w:val="20"/>
          <w:szCs w:val="20"/>
        </w:rPr>
        <w:t>De-energization of Stages:</w:t>
      </w:r>
      <w:r w:rsidRPr="00A073EE">
        <w:rPr>
          <w:rFonts w:ascii="Aptos" w:hAnsi="Aptos"/>
          <w:sz w:val="20"/>
          <w:szCs w:val="20"/>
        </w:rPr>
        <w:t xml:space="preserve"> Manually switch all</w:t>
      </w:r>
      <w:r w:rsidR="008F4F0C">
        <w:rPr>
          <w:rFonts w:ascii="Aptos" w:hAnsi="Aptos"/>
          <w:sz w:val="20"/>
          <w:szCs w:val="20"/>
        </w:rPr>
        <w:t xml:space="preserve"> harmonic filter stages </w:t>
      </w:r>
      <w:r w:rsidRPr="00A073EE">
        <w:rPr>
          <w:rFonts w:ascii="Aptos" w:hAnsi="Aptos"/>
          <w:sz w:val="20"/>
          <w:szCs w:val="20"/>
        </w:rPr>
        <w:t xml:space="preserve">to the </w:t>
      </w:r>
      <w:r w:rsidRPr="00A073EE">
        <w:rPr>
          <w:rFonts w:ascii="Aptos" w:hAnsi="Aptos"/>
          <w:b/>
          <w:bCs/>
          <w:sz w:val="20"/>
          <w:szCs w:val="20"/>
        </w:rPr>
        <w:t>OFF</w:t>
      </w:r>
      <w:r w:rsidRPr="00A073EE">
        <w:rPr>
          <w:rFonts w:ascii="Aptos" w:hAnsi="Aptos"/>
          <w:sz w:val="20"/>
          <w:szCs w:val="20"/>
        </w:rPr>
        <w:t xml:space="preserve"> position using the local ON/OFF/AUTO control switches.</w:t>
      </w:r>
    </w:p>
    <w:p w14:paraId="7A458E1E" w14:textId="77777777" w:rsidR="00A073EE" w:rsidRPr="00A073EE" w:rsidRDefault="00A073EE" w:rsidP="00E20A5A">
      <w:pPr>
        <w:numPr>
          <w:ilvl w:val="0"/>
          <w:numId w:val="10"/>
        </w:numPr>
        <w:rPr>
          <w:rFonts w:ascii="Aptos" w:hAnsi="Aptos"/>
          <w:sz w:val="20"/>
          <w:szCs w:val="20"/>
        </w:rPr>
      </w:pPr>
      <w:r w:rsidRPr="00A073EE">
        <w:rPr>
          <w:rFonts w:ascii="Aptos" w:hAnsi="Aptos"/>
          <w:b/>
          <w:bCs/>
          <w:sz w:val="20"/>
          <w:szCs w:val="20"/>
        </w:rPr>
        <w:t>Isolation and Grounding:</w:t>
      </w:r>
      <w:r w:rsidRPr="00A073EE">
        <w:rPr>
          <w:rFonts w:ascii="Aptos" w:hAnsi="Aptos"/>
          <w:sz w:val="20"/>
          <w:szCs w:val="20"/>
        </w:rPr>
        <w:t xml:space="preserve"> Use the primary "A1" key to unlock the air-disconnect switch. Open the air-disconnect switch and subsequently close the mechanically interlocked ground switch.</w:t>
      </w:r>
    </w:p>
    <w:p w14:paraId="596A07E0" w14:textId="77777777" w:rsidR="00A073EE" w:rsidRPr="00A073EE" w:rsidRDefault="00A073EE" w:rsidP="00E20A5A">
      <w:pPr>
        <w:numPr>
          <w:ilvl w:val="0"/>
          <w:numId w:val="10"/>
        </w:numPr>
        <w:rPr>
          <w:rFonts w:ascii="Aptos" w:hAnsi="Aptos"/>
          <w:sz w:val="20"/>
          <w:szCs w:val="20"/>
        </w:rPr>
      </w:pPr>
      <w:r w:rsidRPr="00A073EE">
        <w:rPr>
          <w:rFonts w:ascii="Aptos" w:hAnsi="Aptos"/>
          <w:b/>
          <w:bCs/>
          <w:sz w:val="20"/>
          <w:szCs w:val="20"/>
        </w:rPr>
        <w:t>Key Release (Grounding):</w:t>
      </w:r>
      <w:r w:rsidRPr="00A073EE">
        <w:rPr>
          <w:rFonts w:ascii="Aptos" w:hAnsi="Aptos"/>
          <w:sz w:val="20"/>
          <w:szCs w:val="20"/>
        </w:rPr>
        <w:t xml:space="preserve"> Remove the "A2" key from the ground switch. The removal of this key shall mechanically lock the ground switch in the </w:t>
      </w:r>
      <w:r w:rsidRPr="00A073EE">
        <w:rPr>
          <w:rFonts w:ascii="Aptos" w:hAnsi="Aptos"/>
          <w:b/>
          <w:bCs/>
          <w:sz w:val="20"/>
          <w:szCs w:val="20"/>
        </w:rPr>
        <w:t>CLOSED</w:t>
      </w:r>
      <w:r w:rsidRPr="00A073EE">
        <w:rPr>
          <w:rFonts w:ascii="Aptos" w:hAnsi="Aptos"/>
          <w:sz w:val="20"/>
          <w:szCs w:val="20"/>
        </w:rPr>
        <w:t xml:space="preserve"> (grounded) position.</w:t>
      </w:r>
    </w:p>
    <w:p w14:paraId="53BCFF0E" w14:textId="70ABD4DB" w:rsidR="00A073EE" w:rsidRPr="00A073EE" w:rsidRDefault="00A073EE" w:rsidP="00E20A5A">
      <w:pPr>
        <w:numPr>
          <w:ilvl w:val="0"/>
          <w:numId w:val="10"/>
        </w:numPr>
        <w:rPr>
          <w:rFonts w:ascii="Aptos" w:hAnsi="Aptos"/>
          <w:sz w:val="20"/>
          <w:szCs w:val="20"/>
        </w:rPr>
      </w:pPr>
      <w:r w:rsidRPr="00A073EE">
        <w:rPr>
          <w:rFonts w:ascii="Aptos" w:hAnsi="Aptos"/>
          <w:b/>
          <w:bCs/>
          <w:sz w:val="20"/>
          <w:szCs w:val="20"/>
        </w:rPr>
        <w:t>Primary Access:</w:t>
      </w:r>
      <w:r w:rsidRPr="00A073EE">
        <w:rPr>
          <w:rFonts w:ascii="Aptos" w:hAnsi="Aptos"/>
          <w:sz w:val="20"/>
          <w:szCs w:val="20"/>
        </w:rPr>
        <w:t xml:space="preserve"> Use the "A2" key to unlock the Air-Disconnect Switch External Compartment Door. Upon opening, the "A3" key shall be released from the door lock.</w:t>
      </w:r>
      <w:r w:rsidR="003419B8">
        <w:rPr>
          <w:rFonts w:ascii="Aptos" w:hAnsi="Aptos"/>
          <w:sz w:val="20"/>
          <w:szCs w:val="20"/>
        </w:rPr>
        <w:br/>
      </w:r>
    </w:p>
    <w:p w14:paraId="14919E65" w14:textId="1C8E7BB3" w:rsidR="00A073EE" w:rsidRPr="00A073EE" w:rsidRDefault="00A073EE" w:rsidP="00E20A5A">
      <w:pPr>
        <w:numPr>
          <w:ilvl w:val="1"/>
          <w:numId w:val="10"/>
        </w:numPr>
        <w:rPr>
          <w:rFonts w:ascii="Aptos" w:hAnsi="Aptos"/>
          <w:sz w:val="20"/>
          <w:szCs w:val="20"/>
        </w:rPr>
      </w:pPr>
      <w:r w:rsidRPr="00A073EE">
        <w:rPr>
          <w:rFonts w:ascii="Aptos" w:hAnsi="Aptos"/>
          <w:i/>
          <w:iCs/>
          <w:sz w:val="20"/>
          <w:szCs w:val="20"/>
        </w:rPr>
        <w:t xml:space="preserve">Note: Access to the switch terminals </w:t>
      </w:r>
      <w:r w:rsidR="009F51F6">
        <w:rPr>
          <w:rFonts w:ascii="Aptos" w:hAnsi="Aptos"/>
          <w:i/>
          <w:iCs/>
          <w:sz w:val="20"/>
          <w:szCs w:val="20"/>
        </w:rPr>
        <w:t xml:space="preserve">(or breaker terminals) </w:t>
      </w:r>
      <w:r w:rsidRPr="00A073EE">
        <w:rPr>
          <w:rFonts w:ascii="Aptos" w:hAnsi="Aptos"/>
          <w:i/>
          <w:iCs/>
          <w:sz w:val="20"/>
          <w:szCs w:val="20"/>
        </w:rPr>
        <w:t>remains blocked by the internal hinged barrier. If specified, this internal barrier can be further interlocked with the upstream feeder breaker.</w:t>
      </w:r>
      <w:r w:rsidR="003419B8">
        <w:rPr>
          <w:rFonts w:ascii="Aptos" w:hAnsi="Aptos"/>
          <w:i/>
          <w:iCs/>
          <w:sz w:val="20"/>
          <w:szCs w:val="20"/>
        </w:rPr>
        <w:br/>
      </w:r>
    </w:p>
    <w:p w14:paraId="31764828" w14:textId="60A00F88" w:rsidR="00A073EE" w:rsidRPr="00A073EE" w:rsidRDefault="00A073EE" w:rsidP="00E20A5A">
      <w:pPr>
        <w:numPr>
          <w:ilvl w:val="0"/>
          <w:numId w:val="10"/>
        </w:numPr>
        <w:rPr>
          <w:rFonts w:ascii="Aptos" w:hAnsi="Aptos"/>
          <w:sz w:val="20"/>
          <w:szCs w:val="20"/>
        </w:rPr>
      </w:pPr>
      <w:r w:rsidRPr="00A073EE">
        <w:rPr>
          <w:rFonts w:ascii="Aptos" w:hAnsi="Aptos"/>
          <w:b/>
          <w:bCs/>
          <w:sz w:val="20"/>
          <w:szCs w:val="20"/>
        </w:rPr>
        <w:t>Sequential Door Release:</w:t>
      </w:r>
      <w:r w:rsidRPr="00A073EE">
        <w:rPr>
          <w:rFonts w:ascii="Aptos" w:hAnsi="Aptos"/>
          <w:sz w:val="20"/>
          <w:szCs w:val="20"/>
        </w:rPr>
        <w:t xml:space="preserve"> Use the "A3" key to open the first </w:t>
      </w:r>
      <w:r w:rsidR="00D43B1D">
        <w:rPr>
          <w:rFonts w:ascii="Aptos" w:hAnsi="Aptos"/>
          <w:sz w:val="20"/>
          <w:szCs w:val="20"/>
        </w:rPr>
        <w:t xml:space="preserve">filter branch </w:t>
      </w:r>
      <w:r w:rsidRPr="00A073EE">
        <w:rPr>
          <w:rFonts w:ascii="Aptos" w:hAnsi="Aptos"/>
          <w:sz w:val="20"/>
          <w:szCs w:val="20"/>
        </w:rPr>
        <w:t>compartment door, which releases the "A4" key.</w:t>
      </w:r>
    </w:p>
    <w:p w14:paraId="21BAFA9A" w14:textId="77777777" w:rsidR="00A073EE" w:rsidRPr="00A073EE" w:rsidRDefault="00A073EE" w:rsidP="00E20A5A">
      <w:pPr>
        <w:numPr>
          <w:ilvl w:val="1"/>
          <w:numId w:val="10"/>
        </w:numPr>
        <w:rPr>
          <w:rFonts w:ascii="Aptos" w:hAnsi="Aptos"/>
          <w:sz w:val="20"/>
          <w:szCs w:val="20"/>
        </w:rPr>
      </w:pPr>
      <w:r w:rsidRPr="00A073EE">
        <w:rPr>
          <w:rFonts w:ascii="Aptos" w:hAnsi="Aptos"/>
          <w:sz w:val="20"/>
          <w:szCs w:val="20"/>
        </w:rPr>
        <w:t>Use the "A4" key to open the subsequent door, releasing the next key in the sequence (if applicable).</w:t>
      </w:r>
    </w:p>
    <w:p w14:paraId="1D2CB825" w14:textId="77777777" w:rsidR="00A073EE" w:rsidRDefault="00A073EE" w:rsidP="00E20A5A">
      <w:pPr>
        <w:numPr>
          <w:ilvl w:val="0"/>
          <w:numId w:val="10"/>
        </w:numPr>
        <w:rPr>
          <w:rFonts w:ascii="Aptos" w:hAnsi="Aptos"/>
          <w:sz w:val="20"/>
          <w:szCs w:val="20"/>
        </w:rPr>
      </w:pPr>
      <w:r w:rsidRPr="00A073EE">
        <w:rPr>
          <w:rFonts w:ascii="Aptos" w:hAnsi="Aptos"/>
          <w:b/>
          <w:bCs/>
          <w:sz w:val="20"/>
          <w:szCs w:val="20"/>
        </w:rPr>
        <w:t>Final Access:</w:t>
      </w:r>
      <w:r w:rsidRPr="00A073EE">
        <w:rPr>
          <w:rFonts w:ascii="Aptos" w:hAnsi="Aptos"/>
          <w:sz w:val="20"/>
          <w:szCs w:val="20"/>
        </w:rPr>
        <w:t xml:space="preserve"> This "daisy-chain" procedure shall be repeated until all enclosure doors are unlocked and open.</w:t>
      </w:r>
    </w:p>
    <w:p w14:paraId="1CD48D6A" w14:textId="77777777" w:rsidR="0049224A" w:rsidRDefault="0049224A" w:rsidP="0049224A">
      <w:pPr>
        <w:ind w:left="720"/>
        <w:rPr>
          <w:rFonts w:ascii="Aptos" w:hAnsi="Aptos"/>
          <w:sz w:val="20"/>
          <w:szCs w:val="20"/>
        </w:rPr>
      </w:pPr>
    </w:p>
    <w:p w14:paraId="136632F2" w14:textId="77777777" w:rsidR="000F36A3" w:rsidRDefault="000F36A3" w:rsidP="000F36A3">
      <w:pPr>
        <w:rPr>
          <w:rFonts w:ascii="Aptos" w:hAnsi="Aptos"/>
          <w:sz w:val="20"/>
          <w:szCs w:val="20"/>
        </w:rPr>
      </w:pPr>
    </w:p>
    <w:p w14:paraId="6A0FFC5A" w14:textId="77777777" w:rsidR="00D95725" w:rsidRPr="00D95725" w:rsidRDefault="00D95725" w:rsidP="00D95725">
      <w:pPr>
        <w:pStyle w:val="Heading1"/>
      </w:pPr>
      <w:r w:rsidRPr="00D95725">
        <w:lastRenderedPageBreak/>
        <w:t>CONTROLS AND PROTECTION</w:t>
      </w:r>
    </w:p>
    <w:p w14:paraId="0250ED7A" w14:textId="76F65E6C" w:rsidR="00D95725" w:rsidRPr="00FA67A8" w:rsidRDefault="00D95725" w:rsidP="00055CCE">
      <w:pPr>
        <w:pStyle w:val="Heading2"/>
        <w:rPr>
          <w:b/>
          <w:bCs/>
        </w:rPr>
      </w:pPr>
      <w:r w:rsidRPr="00FA67A8">
        <w:rPr>
          <w:b/>
          <w:bCs/>
        </w:rPr>
        <w:t>Control Compartment and Isolation</w:t>
      </w:r>
    </w:p>
    <w:p w14:paraId="75B3208F" w14:textId="77777777" w:rsidR="00D95725" w:rsidRPr="00D95725" w:rsidRDefault="00D95725" w:rsidP="00D95725">
      <w:pPr>
        <w:pStyle w:val="11Head-Bullet"/>
      </w:pPr>
      <w:r w:rsidRPr="00D95725">
        <w:rPr>
          <w:b/>
          <w:bCs/>
        </w:rPr>
        <w:t>Integration:</w:t>
      </w:r>
      <w:r w:rsidRPr="00D95725">
        <w:t xml:space="preserve"> The control compartment shall be an integral part of the enclosure; externally mounted control cabinets are prohibited.</w:t>
      </w:r>
    </w:p>
    <w:p w14:paraId="73F4F37A" w14:textId="77777777" w:rsidR="00D95725" w:rsidRPr="00D95725" w:rsidRDefault="00D95725" w:rsidP="00D95725">
      <w:pPr>
        <w:pStyle w:val="11Head-Bullet"/>
      </w:pPr>
      <w:r w:rsidRPr="00D95725">
        <w:rPr>
          <w:b/>
          <w:bCs/>
        </w:rPr>
        <w:t>Isolation:</w:t>
      </w:r>
      <w:r w:rsidRPr="00D95725">
        <w:t xml:space="preserve"> All low-voltage controls shall be physically isolated from high-voltage compartments via grounded steel barriers and shall remain safely accessible while the bank is energized.</w:t>
      </w:r>
    </w:p>
    <w:p w14:paraId="172D84E3" w14:textId="77777777" w:rsidR="00D95725" w:rsidRPr="00D95725" w:rsidRDefault="00D95725" w:rsidP="00D95725">
      <w:pPr>
        <w:pStyle w:val="11Head-Bullet"/>
      </w:pPr>
      <w:r w:rsidRPr="00D95725">
        <w:rPr>
          <w:b/>
          <w:bCs/>
        </w:rPr>
        <w:t>Entry and Wiring:</w:t>
      </w:r>
      <w:r w:rsidRPr="00D95725">
        <w:t xml:space="preserve"> The compartment shall facilitate top or bottom entry for customer control wiring without requiring access to medium-voltage sections. All control wiring traversing high-voltage areas must be enclosed in metal conduit or integrated wire troughs.</w:t>
      </w:r>
    </w:p>
    <w:p w14:paraId="484FABCA" w14:textId="77777777" w:rsidR="00D95725" w:rsidRPr="00D95725" w:rsidRDefault="00D95725" w:rsidP="00D95725">
      <w:pPr>
        <w:pStyle w:val="11Head-Bullet"/>
      </w:pPr>
      <w:r w:rsidRPr="00D95725">
        <w:rPr>
          <w:b/>
          <w:bCs/>
        </w:rPr>
        <w:t>Ergonomics:</w:t>
      </w:r>
      <w:r w:rsidRPr="00D95725">
        <w:t xml:space="preserve"> The compartment shall feature a swing-out dead-front panel to provide rear access to panel-mounted components and wiring.</w:t>
      </w:r>
    </w:p>
    <w:p w14:paraId="337E4E7B" w14:textId="6491440D" w:rsidR="00D95725" w:rsidRPr="00FA67A8" w:rsidRDefault="00D95725" w:rsidP="00055CCE">
      <w:pPr>
        <w:pStyle w:val="Heading2"/>
        <w:rPr>
          <w:b/>
          <w:bCs/>
        </w:rPr>
      </w:pPr>
      <w:r w:rsidRPr="00FA67A8">
        <w:rPr>
          <w:b/>
          <w:bCs/>
        </w:rPr>
        <w:t>Control Power and Protection</w:t>
      </w:r>
    </w:p>
    <w:p w14:paraId="1099E9DE" w14:textId="77777777" w:rsidR="002809A4" w:rsidRDefault="00D95725" w:rsidP="00370E13">
      <w:pPr>
        <w:pStyle w:val="11Head-Bullet"/>
      </w:pPr>
      <w:r w:rsidRPr="005176EB">
        <w:rPr>
          <w:b/>
          <w:bCs/>
        </w:rPr>
        <w:t>Source:</w:t>
      </w:r>
      <w:r w:rsidRPr="00D95725">
        <w:t xml:space="preserve"> </w:t>
      </w:r>
      <w:r w:rsidR="005176EB" w:rsidRPr="00D95725">
        <w:t>A dry-type Control Power Transformer (CPT) shall be provided, connected between phases B and C. The CPT shall include both primary and secondary overcurrent protection.</w:t>
      </w:r>
      <w:r w:rsidR="005176EB">
        <w:t xml:space="preserve"> As an alternative, the capacitor bank shall be designed to accept AC or DC control power from the customer.</w:t>
      </w:r>
    </w:p>
    <w:p w14:paraId="7B1A3EE6" w14:textId="11449F24" w:rsidR="00D95725" w:rsidRPr="00D95725" w:rsidRDefault="00D95725" w:rsidP="00370E13">
      <w:pPr>
        <w:pStyle w:val="11Head-Bullet"/>
      </w:pPr>
      <w:r w:rsidRPr="005176EB">
        <w:rPr>
          <w:b/>
          <w:bCs/>
        </w:rPr>
        <w:t>Circuit Protection:</w:t>
      </w:r>
      <w:r w:rsidRPr="00D95725">
        <w:t xml:space="preserve"> The complete control circuit shall be protected by a main circuit breaker. UL-rated control power circuit breakers shall be utilized for protection and switching of key control components.</w:t>
      </w:r>
    </w:p>
    <w:p w14:paraId="38EBF6B7" w14:textId="77777777" w:rsidR="00D95725" w:rsidRPr="00D95725" w:rsidRDefault="00D95725" w:rsidP="00AA7189">
      <w:pPr>
        <w:pStyle w:val="11Head-Bullet"/>
      </w:pPr>
      <w:r w:rsidRPr="00F12E05">
        <w:rPr>
          <w:b/>
          <w:bCs/>
        </w:rPr>
        <w:t>Compliance:</w:t>
      </w:r>
      <w:r w:rsidRPr="00D95725">
        <w:t xml:space="preserve"> The control system assembly shall be listed unde</w:t>
      </w:r>
      <w:r w:rsidRPr="00DF5994">
        <w:t>r UL 508A for Industrial</w:t>
      </w:r>
      <w:r w:rsidRPr="00D95725">
        <w:t xml:space="preserve"> Control Panels.</w:t>
      </w:r>
    </w:p>
    <w:p w14:paraId="4F649961" w14:textId="1BE441BC" w:rsidR="00D95725" w:rsidRPr="00FA67A8" w:rsidRDefault="00D95725" w:rsidP="00055CCE">
      <w:pPr>
        <w:pStyle w:val="Heading2"/>
        <w:rPr>
          <w:b/>
          <w:bCs/>
        </w:rPr>
      </w:pPr>
      <w:r w:rsidRPr="00FA67A8">
        <w:rPr>
          <w:b/>
          <w:bCs/>
        </w:rPr>
        <w:t>Automation and Switching Logic</w:t>
      </w:r>
    </w:p>
    <w:p w14:paraId="615D0257" w14:textId="4B3C5323" w:rsidR="00D95725" w:rsidRPr="00D95725" w:rsidRDefault="00D95725" w:rsidP="00D95725">
      <w:pPr>
        <w:pStyle w:val="11Head-Bullet"/>
        <w:numPr>
          <w:ilvl w:val="0"/>
          <w:numId w:val="39"/>
        </w:numPr>
      </w:pPr>
      <w:r w:rsidRPr="00D95725">
        <w:rPr>
          <w:b/>
          <w:bCs/>
        </w:rPr>
        <w:t>Power Factor Controller:</w:t>
      </w:r>
      <w:r w:rsidRPr="00D95725">
        <w:t xml:space="preserve"> The bank shall include a digital </w:t>
      </w:r>
      <w:r w:rsidR="00DF5994">
        <w:t xml:space="preserve">power factor </w:t>
      </w:r>
      <w:r w:rsidRPr="00D95725">
        <w:t>controller capable of automatically switching equal or unequal stages to regulate facility power factor to a preset value.</w:t>
      </w:r>
    </w:p>
    <w:p w14:paraId="482FB738" w14:textId="77777777" w:rsidR="00D95725" w:rsidRPr="00D95725" w:rsidRDefault="00D95725" w:rsidP="00D95725">
      <w:pPr>
        <w:pStyle w:val="11Head-Bullet"/>
        <w:numPr>
          <w:ilvl w:val="0"/>
          <w:numId w:val="39"/>
        </w:numPr>
      </w:pPr>
      <w:r w:rsidRPr="00D95725">
        <w:rPr>
          <w:b/>
          <w:bCs/>
        </w:rPr>
        <w:t>Intelligent Monitoring:</w:t>
      </w:r>
      <w:r w:rsidRPr="00D95725">
        <w:t xml:space="preserve"> The controller shall monitor individual stages for loss in kvar and continue to regulate if a defective stage is detected.</w:t>
      </w:r>
    </w:p>
    <w:p w14:paraId="6994C398" w14:textId="77777777" w:rsidR="00D95725" w:rsidRPr="00D95725" w:rsidRDefault="00D95725" w:rsidP="00D95725">
      <w:pPr>
        <w:pStyle w:val="11Head-Bullet"/>
        <w:numPr>
          <w:ilvl w:val="0"/>
          <w:numId w:val="39"/>
        </w:numPr>
      </w:pPr>
      <w:r w:rsidRPr="00D95725">
        <w:rPr>
          <w:b/>
          <w:bCs/>
        </w:rPr>
        <w:t>Data Display:</w:t>
      </w:r>
      <w:r w:rsidRPr="00D95725">
        <w:t xml:space="preserve"> The interface shall display power factor, switching counters, duty cycles, network data (I, U, S, P, Q), alarm logs, step status, and harmonic spectrums (Voltage/Current THD up to the 50th harmonic).</w:t>
      </w:r>
    </w:p>
    <w:p w14:paraId="0B209FC6" w14:textId="77777777" w:rsidR="00D95725" w:rsidRPr="00D95725" w:rsidRDefault="00D95725" w:rsidP="00D95725">
      <w:pPr>
        <w:pStyle w:val="11Head-Bullet"/>
        <w:numPr>
          <w:ilvl w:val="0"/>
          <w:numId w:val="39"/>
        </w:numPr>
      </w:pPr>
      <w:r w:rsidRPr="00D95725">
        <w:rPr>
          <w:b/>
          <w:bCs/>
        </w:rPr>
        <w:t>Alarming:</w:t>
      </w:r>
      <w:r w:rsidRPr="00D95725">
        <w:t xml:space="preserve"> System alarms shall include low power factor, hunting, abnormal PF, low voltage, overcompensation, wrong frequency, overcurrent, overvoltage, over-temperature, and capacitor overload.</w:t>
      </w:r>
    </w:p>
    <w:p w14:paraId="7D9E2493" w14:textId="74978B1A" w:rsidR="00D95725" w:rsidRPr="00FA67A8" w:rsidRDefault="00D95725" w:rsidP="00055CCE">
      <w:pPr>
        <w:pStyle w:val="Heading2"/>
        <w:rPr>
          <w:b/>
          <w:bCs/>
        </w:rPr>
      </w:pPr>
      <w:r w:rsidRPr="00FA67A8">
        <w:rPr>
          <w:b/>
          <w:bCs/>
        </w:rPr>
        <w:t>Stage Interface and Arc Flash Safety</w:t>
      </w:r>
    </w:p>
    <w:p w14:paraId="36EE1DB4" w14:textId="77777777" w:rsidR="00D95725" w:rsidRPr="00D95725" w:rsidRDefault="00D95725" w:rsidP="00D95725">
      <w:pPr>
        <w:pStyle w:val="11Head-Bullet"/>
        <w:numPr>
          <w:ilvl w:val="0"/>
          <w:numId w:val="40"/>
        </w:numPr>
      </w:pPr>
      <w:r w:rsidRPr="00D95725">
        <w:rPr>
          <w:b/>
          <w:bCs/>
        </w:rPr>
        <w:t>Standard Interface:</w:t>
      </w:r>
      <w:r w:rsidRPr="00D95725">
        <w:t xml:space="preserve"> Each stage shall be equipped with an ON/OFF/AUTO selector switch and visual indicators for Stage ON (Green) and Stage OFF (Red).</w:t>
      </w:r>
    </w:p>
    <w:p w14:paraId="67F6576F" w14:textId="4F4E4925" w:rsidR="00D95725" w:rsidRPr="00D95725" w:rsidRDefault="00D95725" w:rsidP="00D95725">
      <w:pPr>
        <w:pStyle w:val="11Head-Bullet"/>
        <w:numPr>
          <w:ilvl w:val="0"/>
          <w:numId w:val="40"/>
        </w:numPr>
      </w:pPr>
      <w:r w:rsidRPr="00D95725">
        <w:rPr>
          <w:b/>
          <w:bCs/>
        </w:rPr>
        <w:t>Switching Delays:</w:t>
      </w:r>
      <w:r w:rsidRPr="00D95725">
        <w:t xml:space="preserve"> An interposing on-delay relay shall prevent the energization of any stage in less than 5 minutes to allow for capacitor discharge. This delay must be enforced when switching from "Manual" to "Auto" modes.</w:t>
      </w:r>
    </w:p>
    <w:p w14:paraId="70851D61" w14:textId="77777777" w:rsidR="00D95725" w:rsidRPr="00D95725" w:rsidRDefault="00D95725" w:rsidP="00D95725">
      <w:pPr>
        <w:pStyle w:val="11Head-Bullet"/>
        <w:numPr>
          <w:ilvl w:val="1"/>
          <w:numId w:val="40"/>
        </w:numPr>
      </w:pPr>
      <w:r w:rsidRPr="00D95725">
        <w:rPr>
          <w:b/>
          <w:bCs/>
        </w:rPr>
        <w:t>Safety Delay:</w:t>
      </w:r>
      <w:r w:rsidRPr="00D95725">
        <w:t xml:space="preserve"> For Arc Flash Hazard Mitigation, a 10-second delay shall be implemented before any manual switching operation to allow personnel to move outside the arc flash boundary.</w:t>
      </w:r>
    </w:p>
    <w:p w14:paraId="3DC50D32" w14:textId="0C68B1C4" w:rsidR="00D95725" w:rsidRPr="00FA67A8" w:rsidRDefault="00D95725" w:rsidP="00055CCE">
      <w:pPr>
        <w:pStyle w:val="Heading2"/>
        <w:rPr>
          <w:b/>
          <w:bCs/>
        </w:rPr>
      </w:pPr>
      <w:r w:rsidRPr="00FA67A8">
        <w:rPr>
          <w:b/>
          <w:bCs/>
        </w:rPr>
        <w:t>Arc Flash Hazard Mitigation (Optional)</w:t>
      </w:r>
    </w:p>
    <w:p w14:paraId="4B9813DA" w14:textId="77777777" w:rsidR="00D95725" w:rsidRPr="00D95725" w:rsidRDefault="00D95725" w:rsidP="00D95725">
      <w:pPr>
        <w:pStyle w:val="11Head-Bullet"/>
        <w:numPr>
          <w:ilvl w:val="0"/>
          <w:numId w:val="41"/>
        </w:numPr>
      </w:pPr>
      <w:r w:rsidRPr="00D95725">
        <w:rPr>
          <w:b/>
          <w:bCs/>
        </w:rPr>
        <w:t>Remote Mounting:</w:t>
      </w:r>
      <w:r w:rsidRPr="00D95725">
        <w:t xml:space="preserve"> The control and protection system may be remotely mounted in a NEMA 1 indoor enclosure. Interconnections shall be facilitated through a marshalling cabinet within the main equipment enclosure.</w:t>
      </w:r>
    </w:p>
    <w:p w14:paraId="243E601F" w14:textId="6FFA130D" w:rsidR="00D95725" w:rsidRPr="00D95725" w:rsidRDefault="00D95725" w:rsidP="00D95725">
      <w:pPr>
        <w:pStyle w:val="11Head-Bullet"/>
        <w:numPr>
          <w:ilvl w:val="0"/>
          <w:numId w:val="41"/>
        </w:numPr>
      </w:pPr>
      <w:r w:rsidRPr="00D95725">
        <w:rPr>
          <w:b/>
          <w:bCs/>
        </w:rPr>
        <w:t>Active Protection (ABB UFES):</w:t>
      </w:r>
      <w:r w:rsidRPr="00D95725">
        <w:t xml:space="preserve"> The </w:t>
      </w:r>
      <w:r w:rsidR="00E244FF">
        <w:t xml:space="preserve">filter </w:t>
      </w:r>
      <w:r w:rsidRPr="00D95725">
        <w:t xml:space="preserve">bank may be equipped with an </w:t>
      </w:r>
      <w:r w:rsidRPr="00D95725">
        <w:rPr>
          <w:b/>
          <w:bCs/>
        </w:rPr>
        <w:t>ABB Ultra-Fast Earthing Switch (UFES)</w:t>
      </w:r>
      <w:r w:rsidRPr="00D95725">
        <w:t xml:space="preserve"> for active arc fault protection. The system shall include electronic detection, primary switching elements, and arc sensors, with a transfer trip wired to the upstream breaker.</w:t>
      </w:r>
    </w:p>
    <w:p w14:paraId="2A954054" w14:textId="06DF24A3" w:rsidR="00D95725" w:rsidRPr="00D95725" w:rsidRDefault="00D95725" w:rsidP="00D95725">
      <w:pPr>
        <w:pStyle w:val="11Head-Bullet"/>
        <w:numPr>
          <w:ilvl w:val="0"/>
          <w:numId w:val="41"/>
        </w:numPr>
      </w:pPr>
      <w:r w:rsidRPr="00D95725">
        <w:rPr>
          <w:b/>
          <w:bCs/>
        </w:rPr>
        <w:lastRenderedPageBreak/>
        <w:t>Optical Detection:</w:t>
      </w:r>
      <w:r w:rsidRPr="00D95725">
        <w:t xml:space="preserve"> An arc flash detection relay </w:t>
      </w:r>
      <w:r w:rsidR="006F2EEC">
        <w:t>(SEL751A)</w:t>
      </w:r>
      <w:r w:rsidR="00F11F61">
        <w:t xml:space="preserve"> </w:t>
      </w:r>
      <w:r w:rsidRPr="00D95725">
        <w:t>with high-speed optical sensors shall be installed to provide high-speed tripping of the feeder</w:t>
      </w:r>
      <w:r w:rsidR="0018446B">
        <w:t xml:space="preserve"> or main</w:t>
      </w:r>
      <w:r w:rsidRPr="00D95725">
        <w:t xml:space="preserve"> breaker</w:t>
      </w:r>
      <w:r w:rsidR="0018446B">
        <w:t xml:space="preserve"> (if provided)</w:t>
      </w:r>
      <w:r w:rsidRPr="00D95725">
        <w:t>.</w:t>
      </w:r>
    </w:p>
    <w:p w14:paraId="3AD18F89" w14:textId="398D319F" w:rsidR="00D95725" w:rsidRPr="00FA67A8" w:rsidRDefault="00D95725" w:rsidP="00055CCE">
      <w:pPr>
        <w:pStyle w:val="Heading2"/>
        <w:rPr>
          <w:b/>
          <w:bCs/>
        </w:rPr>
      </w:pPr>
      <w:r w:rsidRPr="00FA67A8">
        <w:rPr>
          <w:b/>
          <w:bCs/>
        </w:rPr>
        <w:t>Advanced Metering and Protection (Optional)</w:t>
      </w:r>
    </w:p>
    <w:p w14:paraId="147C5D61" w14:textId="77777777" w:rsidR="00D95725" w:rsidRPr="00D95725" w:rsidRDefault="00D95725" w:rsidP="00D95725">
      <w:pPr>
        <w:pStyle w:val="11Head-Bullet"/>
        <w:numPr>
          <w:ilvl w:val="0"/>
          <w:numId w:val="42"/>
        </w:numPr>
      </w:pPr>
      <w:r w:rsidRPr="00D95725">
        <w:rPr>
          <w:b/>
          <w:bCs/>
        </w:rPr>
        <w:t>Power Quality Metering:</w:t>
      </w:r>
      <w:r w:rsidRPr="00D95725">
        <w:t xml:space="preserve"> When specified, a three-phase digital power meter shall be provided. If the meter is utilized for protection functions, an SEL-735 Power Quality Meter shall be used.</w:t>
      </w:r>
    </w:p>
    <w:p w14:paraId="02170737" w14:textId="199B613E" w:rsidR="00D95725" w:rsidRPr="00D95725" w:rsidRDefault="00D95725" w:rsidP="00D95725">
      <w:pPr>
        <w:pStyle w:val="11Head-Bullet"/>
        <w:numPr>
          <w:ilvl w:val="0"/>
          <w:numId w:val="42"/>
        </w:numPr>
      </w:pPr>
      <w:r w:rsidRPr="00D95725">
        <w:rPr>
          <w:b/>
          <w:bCs/>
        </w:rPr>
        <w:t>Monitoring Parameters:</w:t>
      </w:r>
      <w:r w:rsidRPr="00D95725">
        <w:t xml:space="preserve"> The meter shall monitor voltage, current, real/apparent/reactive power, power factor, unbalance, frequency, and energy accumulation</w:t>
      </w:r>
      <w:r w:rsidR="00B1654E">
        <w:t xml:space="preserve"> and all harmonic voltage and currents to the 50</w:t>
      </w:r>
      <w:r w:rsidR="00B1654E" w:rsidRPr="00B1654E">
        <w:rPr>
          <w:vertAlign w:val="superscript"/>
        </w:rPr>
        <w:t>th</w:t>
      </w:r>
      <w:r w:rsidR="00B1654E">
        <w:t xml:space="preserve"> harmonic.</w:t>
      </w:r>
    </w:p>
    <w:p w14:paraId="487C8C91" w14:textId="77777777" w:rsidR="00D95725" w:rsidRPr="00D95725" w:rsidRDefault="00D95725" w:rsidP="00D95725">
      <w:pPr>
        <w:pStyle w:val="11Head-Bullet"/>
        <w:numPr>
          <w:ilvl w:val="0"/>
          <w:numId w:val="42"/>
        </w:numPr>
      </w:pPr>
      <w:r w:rsidRPr="00D95725">
        <w:rPr>
          <w:b/>
          <w:bCs/>
        </w:rPr>
        <w:t>System Protection:</w:t>
      </w:r>
      <w:r w:rsidRPr="00D95725">
        <w:t xml:space="preserve"> The bank shall be equipped with a three-phase over-voltage relay (protecting both capacitors and system equipment) with dual setpoints for alarm and trip functions.</w:t>
      </w:r>
    </w:p>
    <w:p w14:paraId="6D296A5F" w14:textId="1E87A40A" w:rsidR="00D95725" w:rsidRPr="00FA67A8" w:rsidRDefault="00D95725" w:rsidP="00055CCE">
      <w:pPr>
        <w:pStyle w:val="Heading2"/>
        <w:rPr>
          <w:b/>
          <w:bCs/>
        </w:rPr>
      </w:pPr>
      <w:r w:rsidRPr="00FA67A8">
        <w:rPr>
          <w:b/>
          <w:bCs/>
        </w:rPr>
        <w:t>Enclosure Amenities</w:t>
      </w:r>
    </w:p>
    <w:p w14:paraId="68E2AB3B" w14:textId="77777777" w:rsidR="00D95725" w:rsidRPr="00D95725" w:rsidRDefault="00D95725" w:rsidP="00D95725">
      <w:pPr>
        <w:pStyle w:val="11Head-Bullet"/>
        <w:numPr>
          <w:ilvl w:val="0"/>
          <w:numId w:val="43"/>
        </w:numPr>
      </w:pPr>
      <w:r w:rsidRPr="00D95725">
        <w:rPr>
          <w:b/>
          <w:bCs/>
        </w:rPr>
        <w:t>Lighting:</w:t>
      </w:r>
      <w:r w:rsidRPr="00D95725">
        <w:t xml:space="preserve"> Integrated lighting shall be provided for all compartments, operated by a master switch in the control compartment.</w:t>
      </w:r>
    </w:p>
    <w:p w14:paraId="5ACFE5DA" w14:textId="77777777" w:rsidR="00D95725" w:rsidRPr="00D95725" w:rsidRDefault="00D95725" w:rsidP="00D95725">
      <w:pPr>
        <w:pStyle w:val="11Head-Bullet"/>
        <w:numPr>
          <w:ilvl w:val="0"/>
          <w:numId w:val="43"/>
        </w:numPr>
      </w:pPr>
      <w:r w:rsidRPr="00D95725">
        <w:rPr>
          <w:b/>
          <w:bCs/>
        </w:rPr>
        <w:t>Convenience:</w:t>
      </w:r>
      <w:r w:rsidRPr="00D95725">
        <w:t xml:space="preserve"> A 20-amp GFI duplex outlet shall be installed within the control compartment.</w:t>
      </w:r>
    </w:p>
    <w:p w14:paraId="40ECD2C0" w14:textId="7B507959" w:rsidR="00E21308" w:rsidRPr="00E21308" w:rsidRDefault="00E21308" w:rsidP="00E21308">
      <w:pPr>
        <w:pStyle w:val="Heading1"/>
      </w:pPr>
      <w:r w:rsidRPr="00E21308">
        <w:t>SUPPLIER QUALITY AND QUALIFICATIONS</w:t>
      </w:r>
    </w:p>
    <w:p w14:paraId="585DD8F4" w14:textId="1EABA1EB" w:rsidR="00E21308" w:rsidRPr="00E21308" w:rsidRDefault="00E21308" w:rsidP="00055CCE">
      <w:pPr>
        <w:pStyle w:val="Heading2"/>
      </w:pPr>
      <w:r w:rsidRPr="00E21308">
        <w:rPr>
          <w:b/>
          <w:bCs/>
        </w:rPr>
        <w:t>Quality Management System</w:t>
      </w:r>
      <w:r>
        <w:rPr>
          <w:b/>
          <w:bCs/>
        </w:rPr>
        <w:br/>
      </w:r>
      <w:r w:rsidRPr="00E21308">
        <w:t xml:space="preserve">The supplier shall maintain a formal quality management system with third-party certification by an internationally recognized accreditation body </w:t>
      </w:r>
      <w:r w:rsidRPr="00C568E1">
        <w:t>to ISO 9001:2015</w:t>
      </w:r>
      <w:r w:rsidRPr="00E21308">
        <w:t xml:space="preserve"> (or the latest revision). A valid copy of the ISO certification shall be submitted with the quotation.</w:t>
      </w:r>
    </w:p>
    <w:p w14:paraId="2358F43D" w14:textId="3A1B32E7" w:rsidR="00E21308" w:rsidRPr="00E21308" w:rsidRDefault="00E21308" w:rsidP="00055CCE">
      <w:pPr>
        <w:pStyle w:val="Heading2"/>
      </w:pPr>
      <w:r w:rsidRPr="00E21308">
        <w:rPr>
          <w:b/>
          <w:bCs/>
        </w:rPr>
        <w:t>Product Certification and Listing</w:t>
      </w:r>
      <w:r>
        <w:rPr>
          <w:b/>
          <w:bCs/>
        </w:rPr>
        <w:br/>
      </w:r>
      <w:r w:rsidRPr="00E21308">
        <w:t>The supplier shall be authorized by a Nationally Recognized Testing Laboratory (NRTL) to apply certification labels to the equipment.</w:t>
      </w:r>
    </w:p>
    <w:p w14:paraId="269E9BB5" w14:textId="50373F6E" w:rsidR="00E21308" w:rsidRPr="00E21308" w:rsidRDefault="00E21308" w:rsidP="00E21308">
      <w:pPr>
        <w:pStyle w:val="11Head-Bullet"/>
      </w:pPr>
      <w:r w:rsidRPr="00E21308">
        <w:rPr>
          <w:b/>
          <w:bCs/>
        </w:rPr>
        <w:t>Enclosure and Assembly:</w:t>
      </w:r>
      <w:r w:rsidRPr="00E21308">
        <w:t xml:space="preserve"> The shunt </w:t>
      </w:r>
      <w:r w:rsidR="009F291E">
        <w:t>filter bank</w:t>
      </w:r>
      <w:r w:rsidRPr="00E21308">
        <w:t xml:space="preserve"> shall be compliant with IEEE C37.20.3 (Standard for Metal-Enclosed Interrupter Switchgear).</w:t>
      </w:r>
    </w:p>
    <w:p w14:paraId="2DC83689" w14:textId="77777777" w:rsidR="00E21308" w:rsidRPr="00E21308" w:rsidRDefault="00E21308" w:rsidP="00E21308">
      <w:pPr>
        <w:pStyle w:val="11Head-Bullet"/>
      </w:pPr>
      <w:r w:rsidRPr="00E21308">
        <w:rPr>
          <w:b/>
          <w:bCs/>
        </w:rPr>
        <w:t>Components:</w:t>
      </w:r>
      <w:r w:rsidRPr="00E21308">
        <w:t xml:space="preserve"> The assembly shall meet the requirements of CSA C22.2 No. 190 (Capacitors and Reactors) and CSA C22.2 No. 31 (Switchgear Assemblies).</w:t>
      </w:r>
    </w:p>
    <w:p w14:paraId="76CC1491" w14:textId="345F9CFB" w:rsidR="00E21308" w:rsidRPr="00E21308" w:rsidRDefault="00E21308" w:rsidP="00055CCE">
      <w:pPr>
        <w:pStyle w:val="Heading2"/>
      </w:pPr>
      <w:r w:rsidRPr="00E21308">
        <w:rPr>
          <w:b/>
          <w:bCs/>
        </w:rPr>
        <w:t>Control Panel Compliance</w:t>
      </w:r>
      <w:r>
        <w:rPr>
          <w:b/>
          <w:bCs/>
        </w:rPr>
        <w:br/>
      </w:r>
      <w:r w:rsidRPr="00E21308">
        <w:t xml:space="preserve">The supplier shall maintain factory certification through periodic inspections by an NRTL (such as UL or TÜV) to apply </w:t>
      </w:r>
      <w:r w:rsidRPr="00E21308">
        <w:rPr>
          <w:b/>
          <w:bCs/>
        </w:rPr>
        <w:t>UL 508A</w:t>
      </w:r>
      <w:r w:rsidRPr="00E21308">
        <w:t xml:space="preserve"> and </w:t>
      </w:r>
      <w:r w:rsidRPr="00E21308">
        <w:rPr>
          <w:b/>
          <w:bCs/>
        </w:rPr>
        <w:t>C-UL</w:t>
      </w:r>
      <w:r w:rsidRPr="00E21308">
        <w:t xml:space="preserve"> labels to their industrial control panels. A copy of the current certification shall be provided with the quotation.</w:t>
      </w:r>
    </w:p>
    <w:p w14:paraId="0E3DE5B5" w14:textId="1455C2D4" w:rsidR="00E21308" w:rsidRPr="00E21308" w:rsidRDefault="00E21308" w:rsidP="00055CCE">
      <w:pPr>
        <w:pStyle w:val="Heading2"/>
      </w:pPr>
      <w:r w:rsidRPr="00E21308">
        <w:rPr>
          <w:b/>
          <w:bCs/>
        </w:rPr>
        <w:t>Engineering Proficiency</w:t>
      </w:r>
      <w:r>
        <w:rPr>
          <w:b/>
          <w:bCs/>
        </w:rPr>
        <w:br/>
      </w:r>
      <w:r w:rsidRPr="00E21308">
        <w:t>To ensure technical competence in medium-voltage reactive compensation, the supplier shall maintain a staff of experienced, Licensed Professional Engineers (PE). These individuals shall hold degrees in Electrical Power Engineering, preferably with advanced degrees, as evidence of their proficiency in power system design and analysis.</w:t>
      </w:r>
    </w:p>
    <w:p w14:paraId="77A1FAEF" w14:textId="19A3BD94" w:rsidR="00E21308" w:rsidRDefault="00E21308" w:rsidP="00055CCE">
      <w:pPr>
        <w:pStyle w:val="Heading2"/>
      </w:pPr>
      <w:r w:rsidRPr="00E21308">
        <w:rPr>
          <w:b/>
          <w:bCs/>
        </w:rPr>
        <w:t>References and Experience</w:t>
      </w:r>
      <w:r>
        <w:rPr>
          <w:b/>
          <w:bCs/>
        </w:rPr>
        <w:br/>
      </w:r>
      <w:r w:rsidRPr="00E21308">
        <w:t>The supplier shall provide a reference list of customers for whom they have provided similar medium-voltage metal-enclosed equipment. This list shall include contact information to facilitate reference checks and shall be provided at the time of quotation.</w:t>
      </w:r>
    </w:p>
    <w:p w14:paraId="40DCC696" w14:textId="77777777" w:rsidR="0049224A" w:rsidRPr="0049224A" w:rsidRDefault="0049224A" w:rsidP="0049224A"/>
    <w:p w14:paraId="1C24AD25" w14:textId="2BCD17DC" w:rsidR="00E21308" w:rsidRDefault="00E21308" w:rsidP="00055CCE">
      <w:pPr>
        <w:pStyle w:val="Heading2"/>
      </w:pPr>
      <w:r w:rsidRPr="00E21308">
        <w:rPr>
          <w:b/>
          <w:bCs/>
        </w:rPr>
        <w:lastRenderedPageBreak/>
        <w:t>Factory Audits</w:t>
      </w:r>
      <w:r>
        <w:rPr>
          <w:b/>
          <w:bCs/>
        </w:rPr>
        <w:br/>
      </w:r>
      <w:r w:rsidRPr="00E21308">
        <w:t>The supplier shall allow the customer to perform factory audits at the manufacturing facility. Such audits shall occur at a mutually agreed-upon date and time between the customer and the supplier to verify manufacturing processes and quality control measures.</w:t>
      </w:r>
    </w:p>
    <w:p w14:paraId="61882031" w14:textId="77777777" w:rsidR="006C58FB" w:rsidRPr="006C58FB" w:rsidRDefault="006C58FB" w:rsidP="006C58FB">
      <w:pPr>
        <w:pStyle w:val="Heading1"/>
      </w:pPr>
      <w:r w:rsidRPr="006C58FB">
        <w:t>SYSTEM STUDIES AND ENGINEERING ANALYSIS</w:t>
      </w:r>
    </w:p>
    <w:p w14:paraId="3E47E2CC" w14:textId="146F4D05" w:rsidR="006C58FB" w:rsidRDefault="006C58FB" w:rsidP="00055CCE">
      <w:pPr>
        <w:pStyle w:val="Heading2"/>
      </w:pPr>
      <w:r w:rsidRPr="006C58FB">
        <w:rPr>
          <w:b/>
          <w:bCs/>
        </w:rPr>
        <w:t>General Requirements</w:t>
      </w:r>
      <w:r>
        <w:rPr>
          <w:b/>
          <w:bCs/>
        </w:rPr>
        <w:br/>
      </w:r>
      <w:r w:rsidRPr="006C58FB">
        <w:t>To ensure high-reliability performance and equipment longevity, the manufacturer shall perform a comprehensive suite of engineering studies. All analyses shall be conducted by Licensed Professional Engineers using validated simulation tools. Technical reports detailing the methodology and results for the following studies shall be submitted with the approval drawings.</w:t>
      </w:r>
    </w:p>
    <w:p w14:paraId="0456F39B" w14:textId="429E1483" w:rsidR="006C58FB" w:rsidRPr="006C58FB" w:rsidRDefault="006C58FB" w:rsidP="00055CCE">
      <w:pPr>
        <w:pStyle w:val="Heading2"/>
      </w:pPr>
      <w:r w:rsidRPr="006C58FB">
        <w:rPr>
          <w:b/>
          <w:bCs/>
        </w:rPr>
        <w:t>Harmonic Analysis and Filter Design</w:t>
      </w:r>
      <w:r>
        <w:rPr>
          <w:b/>
          <w:bCs/>
        </w:rPr>
        <w:br/>
      </w:r>
      <w:r w:rsidRPr="006C58FB">
        <w:t xml:space="preserve">The vendor shall utilize a filter design and </w:t>
      </w:r>
      <w:r w:rsidR="005D598E">
        <w:t xml:space="preserve">harmonic </w:t>
      </w:r>
      <w:r w:rsidR="00486F7A">
        <w:t xml:space="preserve">analysis </w:t>
      </w:r>
      <w:r w:rsidRPr="006C58FB">
        <w:t xml:space="preserve">simulation platform to optimize bank </w:t>
      </w:r>
      <w:r w:rsidR="00486F7A">
        <w:t xml:space="preserve">to confirm the harmonic filter bank meets its objectives. </w:t>
      </w:r>
    </w:p>
    <w:p w14:paraId="16CC323D" w14:textId="6D4444D9" w:rsidR="006C58FB" w:rsidRDefault="00C34080" w:rsidP="006C58FB">
      <w:pPr>
        <w:pStyle w:val="11Head-Bullet"/>
      </w:pPr>
      <w:r>
        <w:rPr>
          <w:b/>
          <w:bCs/>
        </w:rPr>
        <w:t xml:space="preserve">Performance </w:t>
      </w:r>
      <w:r w:rsidR="006C58FB" w:rsidRPr="006C58FB">
        <w:rPr>
          <w:b/>
          <w:bCs/>
        </w:rPr>
        <w:t>Validation:</w:t>
      </w:r>
      <w:r w:rsidR="006C58FB" w:rsidRPr="006C58FB">
        <w:t xml:space="preserve"> The study shall </w:t>
      </w:r>
      <w:r w:rsidR="00FC383C">
        <w:t>validate the</w:t>
      </w:r>
      <w:r>
        <w:t xml:space="preserve"> filter performance for the project and that it </w:t>
      </w:r>
      <w:r w:rsidR="007231A9">
        <w:t>meets the objectives of the project. Studies shall include:</w:t>
      </w:r>
    </w:p>
    <w:p w14:paraId="282E8B16" w14:textId="40346FF6" w:rsidR="007231A9" w:rsidRPr="006642F6" w:rsidRDefault="007231A9" w:rsidP="007231A9">
      <w:pPr>
        <w:pStyle w:val="11Head-Bullet"/>
        <w:numPr>
          <w:ilvl w:val="1"/>
          <w:numId w:val="6"/>
        </w:numPr>
      </w:pPr>
      <w:r w:rsidRPr="00D7149F">
        <w:rPr>
          <w:b/>
          <w:bCs/>
        </w:rPr>
        <w:t>Resonance Analysis</w:t>
      </w:r>
      <w:r w:rsidR="00D7149F" w:rsidRPr="00D7149F">
        <w:rPr>
          <w:b/>
          <w:bCs/>
        </w:rPr>
        <w:t>:</w:t>
      </w:r>
      <w:r w:rsidR="008A7179">
        <w:t xml:space="preserve"> </w:t>
      </w:r>
      <w:r w:rsidR="00D7149F">
        <w:t>I</w:t>
      </w:r>
      <w:r w:rsidR="008A7179">
        <w:t>dentification of all resonances and resonance concerns</w:t>
      </w:r>
    </w:p>
    <w:p w14:paraId="5DBD3F1C" w14:textId="5C2ECE7C" w:rsidR="007231A9" w:rsidRPr="006642F6" w:rsidRDefault="00D7149F" w:rsidP="007231A9">
      <w:pPr>
        <w:pStyle w:val="11Head-Bullet"/>
        <w:numPr>
          <w:ilvl w:val="1"/>
          <w:numId w:val="6"/>
        </w:numPr>
      </w:pPr>
      <w:r w:rsidRPr="00D7149F">
        <w:rPr>
          <w:b/>
          <w:bCs/>
        </w:rPr>
        <w:t>Compliance with IEEE 519:</w:t>
      </w:r>
      <w:r>
        <w:t xml:space="preserve"> </w:t>
      </w:r>
      <w:r w:rsidR="006642F6" w:rsidRPr="006642F6">
        <w:t xml:space="preserve">Voltage and </w:t>
      </w:r>
      <w:r w:rsidR="008A7179">
        <w:t>c</w:t>
      </w:r>
      <w:r w:rsidR="006642F6" w:rsidRPr="006642F6">
        <w:t xml:space="preserve">urrent </w:t>
      </w:r>
      <w:r w:rsidR="008A7179">
        <w:t>d</w:t>
      </w:r>
      <w:r w:rsidR="006642F6" w:rsidRPr="006642F6">
        <w:t xml:space="preserve">istortion </w:t>
      </w:r>
      <w:r w:rsidR="008A7179">
        <w:t>c</w:t>
      </w:r>
      <w:r w:rsidR="006642F6" w:rsidRPr="006642F6">
        <w:t>alcu</w:t>
      </w:r>
      <w:r w:rsidR="008A7179">
        <w:t xml:space="preserve">lations to confirm </w:t>
      </w:r>
      <w:r w:rsidR="00377FD8">
        <w:t xml:space="preserve">compliance with IEEE 519 current distortion limits at the PCC as well as to confirm that voltage distortion will not exceed 5% Vthd at the plant main bus for all operating </w:t>
      </w:r>
      <w:r w:rsidR="00275FE8">
        <w:t>conditions.</w:t>
      </w:r>
    </w:p>
    <w:p w14:paraId="32B01917" w14:textId="180B33D4" w:rsidR="006C58FB" w:rsidRPr="006C58FB" w:rsidRDefault="006C58FB" w:rsidP="006C58FB">
      <w:pPr>
        <w:pStyle w:val="11Head-Bullet"/>
      </w:pPr>
      <w:r w:rsidRPr="006C58FB">
        <w:rPr>
          <w:b/>
          <w:bCs/>
        </w:rPr>
        <w:t>Sensitivity Analysis:</w:t>
      </w:r>
      <w:r w:rsidRPr="006C58FB">
        <w:t xml:space="preserve"> Simulations must account for varying system impedances and the presence of nearby </w:t>
      </w:r>
      <w:r w:rsidR="008A16E7">
        <w:t xml:space="preserve">capacitor banks or stray capacitance </w:t>
      </w:r>
      <w:r w:rsidRPr="006C58FB">
        <w:t>to prevent resonance or de-tuning.</w:t>
      </w:r>
    </w:p>
    <w:p w14:paraId="28BF5369" w14:textId="77777777" w:rsidR="006C58FB" w:rsidRPr="006C58FB" w:rsidRDefault="006C58FB" w:rsidP="006C58FB">
      <w:pPr>
        <w:pStyle w:val="11Head-Bullet"/>
      </w:pPr>
      <w:r w:rsidRPr="006C58FB">
        <w:rPr>
          <w:b/>
          <w:bCs/>
        </w:rPr>
        <w:t>Component Rating:</w:t>
      </w:r>
      <w:r w:rsidRPr="006C58FB">
        <w:t xml:space="preserve"> The analysis shall verify that all capacitors and reactors are rated for the worst-case harmonic voltage and current spectrums.</w:t>
      </w:r>
    </w:p>
    <w:p w14:paraId="5A8BAB40" w14:textId="7E9A8D64" w:rsidR="006C58FB" w:rsidRPr="006C58FB" w:rsidRDefault="006C58FB" w:rsidP="00055CCE">
      <w:pPr>
        <w:pStyle w:val="Heading2"/>
      </w:pPr>
      <w:r w:rsidRPr="006C58FB">
        <w:rPr>
          <w:b/>
          <w:bCs/>
        </w:rPr>
        <w:t>Switching Studies</w:t>
      </w:r>
      <w:r>
        <w:rPr>
          <w:b/>
          <w:bCs/>
        </w:rPr>
        <w:br/>
      </w:r>
      <w:r w:rsidR="008A16E7">
        <w:t xml:space="preserve">Switching </w:t>
      </w:r>
      <w:r w:rsidR="00FC1491">
        <w:t>studies</w:t>
      </w:r>
      <w:r w:rsidRPr="006C58FB">
        <w:t xml:space="preserve"> shall be performed </w:t>
      </w:r>
      <w:r w:rsidR="0049552B">
        <w:t>in accordance with IEEE Std. 1036, C37.99,</w:t>
      </w:r>
      <w:r w:rsidR="004F3A78">
        <w:t xml:space="preserve"> and</w:t>
      </w:r>
      <w:r w:rsidR="0049552B">
        <w:t xml:space="preserve"> C37.66</w:t>
      </w:r>
      <w:r w:rsidR="004F3A78">
        <w:t xml:space="preserve"> </w:t>
      </w:r>
      <w:r w:rsidRPr="006C58FB">
        <w:t>to assess the impact of switching operations on the filter bank and host system.</w:t>
      </w:r>
    </w:p>
    <w:p w14:paraId="3B358C45" w14:textId="77777777" w:rsidR="006C58FB" w:rsidRPr="006C58FB" w:rsidRDefault="006C58FB" w:rsidP="006C58FB">
      <w:pPr>
        <w:pStyle w:val="11Head-Bullet"/>
      </w:pPr>
      <w:r w:rsidRPr="006C58FB">
        <w:rPr>
          <w:b/>
          <w:bCs/>
        </w:rPr>
        <w:t>Inrush Analysis:</w:t>
      </w:r>
      <w:r w:rsidRPr="006C58FB">
        <w:t xml:space="preserve"> A Peak Inrush Analysis shall be conducted to determine the magnitude and frequency of transient inrush currents during bank energization.</w:t>
      </w:r>
    </w:p>
    <w:p w14:paraId="1052FAA0" w14:textId="3158E147" w:rsidR="006C58FB" w:rsidRPr="006C58FB" w:rsidRDefault="006C58FB" w:rsidP="006C58FB">
      <w:pPr>
        <w:pStyle w:val="11Head-Bullet"/>
      </w:pPr>
      <w:r w:rsidRPr="006C58FB">
        <w:rPr>
          <w:b/>
          <w:bCs/>
        </w:rPr>
        <w:t>Outrush and Close-in Faults:</w:t>
      </w:r>
      <w:r w:rsidRPr="006C58FB">
        <w:t xml:space="preserve"> The manufacturer shall perform an </w:t>
      </w:r>
      <w:r w:rsidR="00FC1491">
        <w:t>O</w:t>
      </w:r>
      <w:r w:rsidRPr="006C58FB">
        <w:t>utrush Analysis to evaluate the energy discharge into nearby faults and ensure that the switching devices and buswork can withstand the resulting mechanical and thermal stresses.</w:t>
      </w:r>
    </w:p>
    <w:p w14:paraId="5A659182" w14:textId="77777777" w:rsidR="006C58FB" w:rsidRPr="006C58FB" w:rsidRDefault="006C58FB" w:rsidP="006C58FB">
      <w:pPr>
        <w:pStyle w:val="11Head-Bullet"/>
      </w:pPr>
      <w:r w:rsidRPr="006C58FB">
        <w:rPr>
          <w:b/>
          <w:bCs/>
        </w:rPr>
        <w:t>TRV and Breaker Duty:</w:t>
      </w:r>
      <w:r w:rsidRPr="006C58FB">
        <w:t xml:space="preserve"> A specialized assessment shall be conducted to determine the Transient Recovery Voltage (TRV) across switching devices during the interruption of reactor-limited faults. This study shall verify that the breaker or switch is applied within its rated capability.</w:t>
      </w:r>
    </w:p>
    <w:p w14:paraId="685D4AA7" w14:textId="7A04164E" w:rsidR="006C58FB" w:rsidRPr="006C58FB" w:rsidRDefault="006C58FB" w:rsidP="00055CCE">
      <w:pPr>
        <w:pStyle w:val="Heading2"/>
      </w:pPr>
      <w:r w:rsidRPr="006C58FB">
        <w:rPr>
          <w:b/>
          <w:bCs/>
        </w:rPr>
        <w:t>Insulation Coordination and Site-Specific Derating</w:t>
      </w:r>
      <w:r w:rsidRPr="006C58FB">
        <w:rPr>
          <w:b/>
          <w:bCs/>
        </w:rPr>
        <w:br/>
      </w:r>
      <w:r w:rsidRPr="006C58FB">
        <w:t>The equipment design shall be validated against site-specific environmental constraints.</w:t>
      </w:r>
    </w:p>
    <w:p w14:paraId="5E05EA11" w14:textId="77777777" w:rsidR="006C58FB" w:rsidRPr="006C58FB" w:rsidRDefault="006C58FB" w:rsidP="006C58FB">
      <w:pPr>
        <w:pStyle w:val="11Head-Bullet"/>
      </w:pPr>
      <w:r w:rsidRPr="006C58FB">
        <w:rPr>
          <w:b/>
          <w:bCs/>
        </w:rPr>
        <w:t>Altitude Derating:</w:t>
      </w:r>
      <w:r w:rsidRPr="006C58FB">
        <w:t xml:space="preserve"> For installations exceeding 1000 meters (3300 feet) above sea level, the manufacturer shall provide an Altitude Derating and Insulation Coordination study.</w:t>
      </w:r>
    </w:p>
    <w:p w14:paraId="62CB0333" w14:textId="15AC414C" w:rsidR="006C58FB" w:rsidRPr="006C58FB" w:rsidRDefault="006C58FB" w:rsidP="00055CCE">
      <w:pPr>
        <w:pStyle w:val="Heading2"/>
      </w:pPr>
      <w:r w:rsidRPr="006C58FB">
        <w:rPr>
          <w:b/>
          <w:bCs/>
        </w:rPr>
        <w:t>Protection Coordination Study</w:t>
      </w:r>
      <w:r>
        <w:rPr>
          <w:b/>
          <w:bCs/>
        </w:rPr>
        <w:br/>
      </w:r>
      <w:r w:rsidRPr="006C58FB">
        <w:t>A formal Time-Current Coordination (TCC) study shall be provided to ensure selective coordination between internal and external protective devices.</w:t>
      </w:r>
    </w:p>
    <w:p w14:paraId="21469BAA" w14:textId="77777777" w:rsidR="006C58FB" w:rsidRDefault="006C58FB" w:rsidP="006C58FB">
      <w:pPr>
        <w:pStyle w:val="11Head-Bullet"/>
      </w:pPr>
      <w:r w:rsidRPr="006C58FB">
        <w:rPr>
          <w:b/>
          <w:bCs/>
        </w:rPr>
        <w:t>Fuse-to-Fuse Coordination:</w:t>
      </w:r>
      <w:r w:rsidRPr="006C58FB">
        <w:t xml:space="preserve"> The study shall demonstrate proper coordination between capacitor branch fuses and main incoming fuses.</w:t>
      </w:r>
    </w:p>
    <w:p w14:paraId="3170E823" w14:textId="649A37E9" w:rsidR="006D551E" w:rsidRPr="006C58FB" w:rsidRDefault="006D551E" w:rsidP="006C58FB">
      <w:pPr>
        <w:pStyle w:val="11Head-Bullet"/>
      </w:pPr>
      <w:r>
        <w:rPr>
          <w:b/>
          <w:bCs/>
        </w:rPr>
        <w:lastRenderedPageBreak/>
        <w:t>Case Rupture Coordination:</w:t>
      </w:r>
      <w:r>
        <w:t xml:space="preserve"> The study shall demonstrate proper </w:t>
      </w:r>
      <w:r w:rsidR="00365DAA">
        <w:t>fuse selection to prevent case rupture.</w:t>
      </w:r>
    </w:p>
    <w:p w14:paraId="2CCE94F6" w14:textId="77777777" w:rsidR="006C58FB" w:rsidRPr="006C58FB" w:rsidRDefault="006C58FB" w:rsidP="006C58FB">
      <w:pPr>
        <w:pStyle w:val="11Head-Bullet"/>
      </w:pPr>
      <w:r w:rsidRPr="006C58FB">
        <w:rPr>
          <w:b/>
          <w:bCs/>
        </w:rPr>
        <w:t>Upstream Integration:</w:t>
      </w:r>
      <w:r w:rsidRPr="006C58FB">
        <w:t xml:space="preserve"> All internal protection (including unbalance, overcurrent, and harmonic overload) shall be coordinated with the upstream feeder breaker settings and the capacitor case rupture curves.</w:t>
      </w:r>
    </w:p>
    <w:p w14:paraId="1B33B92B" w14:textId="481F6D1F" w:rsidR="00E21308" w:rsidRPr="00E21308" w:rsidRDefault="00E21308" w:rsidP="00E21308">
      <w:pPr>
        <w:pStyle w:val="Heading1"/>
      </w:pPr>
      <w:r w:rsidRPr="00E21308">
        <w:t>SUBMITTALS AND DOCUMENTATION</w:t>
      </w:r>
    </w:p>
    <w:p w14:paraId="2A537838" w14:textId="6035FDE2" w:rsidR="00E21308" w:rsidRPr="00E21308" w:rsidRDefault="00E21308" w:rsidP="00055CCE">
      <w:pPr>
        <w:pStyle w:val="Heading2"/>
      </w:pPr>
      <w:r w:rsidRPr="00E21308">
        <w:rPr>
          <w:b/>
          <w:bCs/>
        </w:rPr>
        <w:t>Approval Drawing Package</w:t>
      </w:r>
      <w:r>
        <w:rPr>
          <w:b/>
          <w:bCs/>
        </w:rPr>
        <w:br/>
      </w:r>
      <w:r w:rsidRPr="00E21308">
        <w:t xml:space="preserve">Following the issuance of a purchase order, the supplier shall submit </w:t>
      </w:r>
      <w:r>
        <w:t xml:space="preserve">a </w:t>
      </w:r>
      <w:r w:rsidRPr="00E21308">
        <w:t>complete set of approval drawings for review. Fabrication shall not commence until the customer has provided written approval of the submittal package.</w:t>
      </w:r>
    </w:p>
    <w:p w14:paraId="5F37CEC3" w14:textId="6075BB6E" w:rsidR="00E21308" w:rsidRPr="00E21308" w:rsidRDefault="00E21308" w:rsidP="00055CCE">
      <w:pPr>
        <w:pStyle w:val="Heading2"/>
      </w:pPr>
      <w:r w:rsidRPr="00E21308">
        <w:rPr>
          <w:b/>
          <w:bCs/>
        </w:rPr>
        <w:t>Submittal Content</w:t>
      </w:r>
      <w:r>
        <w:rPr>
          <w:b/>
          <w:bCs/>
        </w:rPr>
        <w:br/>
      </w:r>
      <w:r w:rsidRPr="00E21308">
        <w:t>The submittal package shall be comprehensive and include, at a minimum, the following technical documentation:</w:t>
      </w:r>
    </w:p>
    <w:p w14:paraId="7B04078C" w14:textId="77777777" w:rsidR="00E21308" w:rsidRPr="00E21308" w:rsidRDefault="00E21308" w:rsidP="00E21308">
      <w:pPr>
        <w:pStyle w:val="11Head-Bullet"/>
      </w:pPr>
      <w:r w:rsidRPr="00E21308">
        <w:rPr>
          <w:b/>
          <w:bCs/>
        </w:rPr>
        <w:t>Installation Instructions:</w:t>
      </w:r>
      <w:r w:rsidRPr="00E21308">
        <w:t xml:space="preserve"> Detailed procedures for site handling, leveling, and assembly.</w:t>
      </w:r>
    </w:p>
    <w:p w14:paraId="64A27799" w14:textId="77777777" w:rsidR="00E21308" w:rsidRPr="00E21308" w:rsidRDefault="00E21308" w:rsidP="00E21308">
      <w:pPr>
        <w:pStyle w:val="11Head-Bullet"/>
      </w:pPr>
      <w:r w:rsidRPr="00E21308">
        <w:rPr>
          <w:b/>
          <w:bCs/>
        </w:rPr>
        <w:t>Schematic Diagrams:</w:t>
      </w:r>
      <w:r w:rsidRPr="00E21308">
        <w:t xml:space="preserve"> Complete Single-Line and Three-Line diagrams illustrating the primary power circuit, switching logic, and protection schemes.</w:t>
      </w:r>
    </w:p>
    <w:p w14:paraId="47D31E98" w14:textId="77777777" w:rsidR="00E21308" w:rsidRPr="00E21308" w:rsidRDefault="00E21308" w:rsidP="00E21308">
      <w:pPr>
        <w:pStyle w:val="11Head-Bullet"/>
      </w:pPr>
      <w:r w:rsidRPr="00E21308">
        <w:rPr>
          <w:b/>
          <w:bCs/>
        </w:rPr>
        <w:t>Plan View and Section Drawings:</w:t>
      </w:r>
      <w:r w:rsidRPr="00E21308">
        <w:t xml:space="preserve"> Detailed drawings showing the enclosure footprint, anchoring requirements (pad details), and specific locations for top or bottom cable entry.</w:t>
      </w:r>
    </w:p>
    <w:p w14:paraId="09498A49" w14:textId="16FFAF19" w:rsidR="00E21308" w:rsidRPr="00E21308" w:rsidRDefault="00E21308" w:rsidP="00E21308">
      <w:pPr>
        <w:pStyle w:val="11Head-Bullet"/>
      </w:pPr>
      <w:r w:rsidRPr="00E21308">
        <w:rPr>
          <w:b/>
          <w:bCs/>
        </w:rPr>
        <w:t>Component Layout:</w:t>
      </w:r>
      <w:r w:rsidRPr="00E21308">
        <w:t xml:space="preserve"> Internal elevation drawings identifying the physical arrangement and clearances for all major components, including </w:t>
      </w:r>
      <w:r w:rsidR="008C5366">
        <w:t xml:space="preserve">tuning </w:t>
      </w:r>
      <w:r w:rsidRPr="00E21308">
        <w:t>reactors, switches, fuses,</w:t>
      </w:r>
      <w:r w:rsidR="00601B1D">
        <w:t xml:space="preserve"> capacitors</w:t>
      </w:r>
      <w:r w:rsidR="00671444">
        <w:t>, breakers,</w:t>
      </w:r>
      <w:r w:rsidRPr="00E21308">
        <w:t xml:space="preserve"> and </w:t>
      </w:r>
      <w:r w:rsidR="00671444">
        <w:t xml:space="preserve">all </w:t>
      </w:r>
      <w:r w:rsidRPr="00E21308">
        <w:t>control</w:t>
      </w:r>
      <w:r w:rsidR="00671444">
        <w:t>s</w:t>
      </w:r>
      <w:r w:rsidRPr="00E21308">
        <w:t>.</w:t>
      </w:r>
    </w:p>
    <w:p w14:paraId="654AB68F" w14:textId="60B26322" w:rsidR="00E21308" w:rsidRPr="00E21308" w:rsidRDefault="00E21308" w:rsidP="00E21308">
      <w:pPr>
        <w:pStyle w:val="11Head-Bullet"/>
      </w:pPr>
      <w:r w:rsidRPr="00E21308">
        <w:rPr>
          <w:b/>
          <w:bCs/>
        </w:rPr>
        <w:t>Technical Data Sheets:</w:t>
      </w:r>
      <w:r w:rsidRPr="00E21308">
        <w:t xml:space="preserve"> Manufacturer-published specifications and data sheets for all internal primary components (reactors, switches, </w:t>
      </w:r>
      <w:r w:rsidR="00D53D26">
        <w:t xml:space="preserve">breakers, </w:t>
      </w:r>
      <w:r w:rsidRPr="00E21308">
        <w:t xml:space="preserve">arresters, fuses, </w:t>
      </w:r>
      <w:r w:rsidR="00671444">
        <w:t xml:space="preserve">capacitors, </w:t>
      </w:r>
      <w:r w:rsidRPr="00E21308">
        <w:t>and controllers</w:t>
      </w:r>
      <w:r w:rsidR="00D53D26">
        <w:t xml:space="preserve"> and all other significant devices</w:t>
      </w:r>
      <w:r w:rsidRPr="00E21308">
        <w:t>).</w:t>
      </w:r>
    </w:p>
    <w:p w14:paraId="7E4A73F2" w14:textId="77777777" w:rsidR="00E21308" w:rsidRPr="00E21308" w:rsidRDefault="00E21308" w:rsidP="00E21308">
      <w:pPr>
        <w:pStyle w:val="11Head-Bullet"/>
      </w:pPr>
      <w:r w:rsidRPr="00E21308">
        <w:rPr>
          <w:b/>
          <w:bCs/>
        </w:rPr>
        <w:t>Bill of Materials (BOM):</w:t>
      </w:r>
      <w:r w:rsidRPr="00E21308">
        <w:t xml:space="preserve"> A complete material listing identifying part numbers, ratings, and quantities for all system components.</w:t>
      </w:r>
    </w:p>
    <w:p w14:paraId="094F0F9E" w14:textId="2036E8DD" w:rsidR="00E21308" w:rsidRDefault="00E21308" w:rsidP="00055CCE">
      <w:pPr>
        <w:pStyle w:val="Heading2"/>
      </w:pPr>
      <w:r w:rsidRPr="00E21308">
        <w:rPr>
          <w:b/>
          <w:bCs/>
        </w:rPr>
        <w:t>Operation and Maintenance (O&amp;M) Manuals</w:t>
      </w:r>
      <w:r>
        <w:rPr>
          <w:b/>
          <w:bCs/>
        </w:rPr>
        <w:br/>
      </w:r>
      <w:r w:rsidRPr="00E21308">
        <w:t>Final "As-Built" documentation, including certified test reports and localized O&amp;M manuals, shall be provided with the equipment shipment.</w:t>
      </w:r>
    </w:p>
    <w:p w14:paraId="1B8416B9" w14:textId="77777777" w:rsidR="00E21308" w:rsidRPr="00E21308" w:rsidRDefault="00E21308" w:rsidP="00E21308">
      <w:pPr>
        <w:pStyle w:val="Heading1"/>
      </w:pPr>
      <w:r w:rsidRPr="00E21308">
        <w:t>BID REQUIREMENTS</w:t>
      </w:r>
    </w:p>
    <w:p w14:paraId="35686703" w14:textId="338C88C2" w:rsidR="00E21308" w:rsidRPr="00E21308" w:rsidRDefault="00E21308" w:rsidP="00055CCE">
      <w:pPr>
        <w:pStyle w:val="Heading2"/>
      </w:pPr>
      <w:r w:rsidRPr="00E21308">
        <w:rPr>
          <w:b/>
          <w:bCs/>
        </w:rPr>
        <w:t>Inspection and Test Plan (ITP)</w:t>
      </w:r>
      <w:r>
        <w:rPr>
          <w:b/>
          <w:bCs/>
        </w:rPr>
        <w:br/>
      </w:r>
      <w:r w:rsidRPr="00E21308">
        <w:t>The supplier shall submit a comprehensive Inspection and Test Plan (ITP) with the bid. This document must detail all proposed factory production tests, specialized type tests, and final certifications. The ITP shall include a definitive schedule for the submission of all test reports, indexed from the date of award.</w:t>
      </w:r>
    </w:p>
    <w:p w14:paraId="0144B396" w14:textId="2A22D781" w:rsidR="00E21308" w:rsidRPr="00E21308" w:rsidRDefault="00E21308" w:rsidP="00055CCE">
      <w:pPr>
        <w:pStyle w:val="Heading2"/>
      </w:pPr>
      <w:r w:rsidRPr="00E21308">
        <w:rPr>
          <w:b/>
          <w:bCs/>
        </w:rPr>
        <w:t>Supplier Document List (SDL)</w:t>
      </w:r>
      <w:r>
        <w:rPr>
          <w:b/>
          <w:bCs/>
        </w:rPr>
        <w:br/>
      </w:r>
      <w:r w:rsidRPr="00E21308">
        <w:t>A Supplier Document List (SDL) shall be provided, identifying all submittal and close-out documentation to be furnished (e.g., approval drawings, O&amp;M manuals, certified test reports). The SDL must include a submittal schedule expressed in weeks after the date of award.</w:t>
      </w:r>
    </w:p>
    <w:p w14:paraId="43AA3EA2" w14:textId="7EA3025F" w:rsidR="00E21308" w:rsidRDefault="00E21308" w:rsidP="00055CCE">
      <w:pPr>
        <w:pStyle w:val="Heading2"/>
      </w:pPr>
      <w:r w:rsidRPr="00E21308">
        <w:rPr>
          <w:b/>
          <w:bCs/>
        </w:rPr>
        <w:t>Statement of Exceptions</w:t>
      </w:r>
      <w:r>
        <w:rPr>
          <w:b/>
          <w:bCs/>
        </w:rPr>
        <w:br/>
      </w:r>
      <w:r w:rsidRPr="00E21308">
        <w:t>The supplier shall explicitly state all technical or commercial exceptions to this specification within the bid proposal. If no exceptions are taken, the supplier must provide an affirmative statement that the proposal is in full compliance with the specification as written.</w:t>
      </w:r>
    </w:p>
    <w:p w14:paraId="50D881A9" w14:textId="77777777" w:rsidR="0049224A" w:rsidRPr="0049224A" w:rsidRDefault="0049224A" w:rsidP="0049224A"/>
    <w:p w14:paraId="7531AF15" w14:textId="2938C564" w:rsidR="00E21308" w:rsidRPr="00E21308" w:rsidRDefault="00E21308" w:rsidP="00055CCE">
      <w:pPr>
        <w:pStyle w:val="Heading2"/>
      </w:pPr>
      <w:r w:rsidRPr="00E21308">
        <w:rPr>
          <w:b/>
          <w:bCs/>
        </w:rPr>
        <w:lastRenderedPageBreak/>
        <w:t>Supplier Qualification</w:t>
      </w:r>
      <w:r>
        <w:rPr>
          <w:b/>
          <w:bCs/>
        </w:rPr>
        <w:br/>
      </w:r>
      <w:r w:rsidRPr="00E21308">
        <w:t xml:space="preserve">The supplier must complete and include the attached </w:t>
      </w:r>
      <w:r w:rsidRPr="00E21308">
        <w:rPr>
          <w:b/>
          <w:bCs/>
        </w:rPr>
        <w:t>Supplier Qualification Form</w:t>
      </w:r>
      <w:r w:rsidRPr="00E21308">
        <w:t xml:space="preserve"> with their formal quotation. Failure to provide this completed form at the time of bid submission shall be grounds for immediate rejection of the proposal.</w:t>
      </w:r>
    </w:p>
    <w:p w14:paraId="0E16A2F5" w14:textId="72A6FE80" w:rsidR="00E21308" w:rsidRPr="00E21308" w:rsidRDefault="00E21308" w:rsidP="00055CCE">
      <w:pPr>
        <w:pStyle w:val="Heading2"/>
      </w:pPr>
      <w:r w:rsidRPr="00E21308">
        <w:rPr>
          <w:b/>
          <w:bCs/>
        </w:rPr>
        <w:t>Warranty and Field Service</w:t>
      </w:r>
      <w:r>
        <w:rPr>
          <w:b/>
          <w:bCs/>
        </w:rPr>
        <w:br/>
      </w:r>
      <w:r w:rsidRPr="00E21308">
        <w:t>The supplier shall provide written details regarding available extended warranty options and field service agreements. These policy documents must be included in the bid package to allow for evaluation of long-term support capabilities.</w:t>
      </w:r>
    </w:p>
    <w:p w14:paraId="15763AE4" w14:textId="0B7E583C" w:rsidR="00E21308" w:rsidRPr="00E21308" w:rsidRDefault="00E21308" w:rsidP="00055CCE">
      <w:pPr>
        <w:pStyle w:val="Heading2"/>
      </w:pPr>
      <w:r w:rsidRPr="00E21308">
        <w:rPr>
          <w:b/>
          <w:bCs/>
        </w:rPr>
        <w:t>Quality Policy</w:t>
      </w:r>
      <w:r w:rsidRPr="00E21308">
        <w:t xml:space="preserve"> The supplier’s formal, written Quality Policy shall be submitted with the bid as evidence of the manufacturer’s commitment to quality assurance and continuous improvement.</w:t>
      </w:r>
    </w:p>
    <w:p w14:paraId="73BE04E8" w14:textId="16A5D456" w:rsidR="00E21308" w:rsidRDefault="00E21308" w:rsidP="00055CCE">
      <w:pPr>
        <w:pStyle w:val="Heading2"/>
      </w:pPr>
      <w:r w:rsidRPr="00E21308">
        <w:rPr>
          <w:b/>
          <w:bCs/>
        </w:rPr>
        <w:t>Shipping Terms</w:t>
      </w:r>
      <w:r w:rsidRPr="00E21308">
        <w:t xml:space="preserve"> All quotations shall be provided on an </w:t>
      </w:r>
      <w:r w:rsidRPr="00E21308">
        <w:rPr>
          <w:b/>
          <w:bCs/>
        </w:rPr>
        <w:t>F.O.B. Factory, Freight Allowed</w:t>
      </w:r>
      <w:r w:rsidRPr="00E21308">
        <w:t xml:space="preserve"> basis, unless otherwise specified in the project-specific RFP.</w:t>
      </w:r>
    </w:p>
    <w:p w14:paraId="55F9EF1B" w14:textId="77777777" w:rsidR="000F36A3" w:rsidRPr="000F36A3" w:rsidRDefault="000F36A3" w:rsidP="000F36A3">
      <w:pPr>
        <w:pStyle w:val="Heading1"/>
      </w:pPr>
      <w:r w:rsidRPr="000F36A3">
        <w:t>TESTING AND TEST REPORTS</w:t>
      </w:r>
    </w:p>
    <w:p w14:paraId="4BB6F5CD" w14:textId="10FBF984" w:rsidR="000F36A3" w:rsidRPr="000F36A3" w:rsidRDefault="000F36A3" w:rsidP="00055CCE">
      <w:pPr>
        <w:pStyle w:val="Heading2"/>
      </w:pPr>
      <w:r w:rsidRPr="000F36A3">
        <w:rPr>
          <w:b/>
          <w:bCs/>
        </w:rPr>
        <w:t>General Requirements</w:t>
      </w:r>
      <w:r>
        <w:br/>
      </w:r>
      <w:r w:rsidRPr="000F36A3">
        <w:t xml:space="preserve">The manufacturer shall perform comprehensive testing on all components and the completed assembly in accordance with applicable IEEE, ANSI, and NEMA standards. A detailed </w:t>
      </w:r>
      <w:r w:rsidRPr="000F36A3">
        <w:rPr>
          <w:b/>
          <w:bCs/>
        </w:rPr>
        <w:t>Inspection and Test Plan (ITP)</w:t>
      </w:r>
      <w:r w:rsidRPr="000F36A3">
        <w:t xml:space="preserve"> shall be provided with the bid. Fabrication and assembly shall be governed by this ITP, and all results shall be documented in a certified test report.</w:t>
      </w:r>
    </w:p>
    <w:p w14:paraId="43792637" w14:textId="64608799" w:rsidR="000F36A3" w:rsidRPr="000F36A3" w:rsidRDefault="000F36A3" w:rsidP="00055CCE">
      <w:pPr>
        <w:pStyle w:val="Heading2"/>
      </w:pPr>
      <w:r w:rsidRPr="000F36A3">
        <w:rPr>
          <w:b/>
          <w:bCs/>
        </w:rPr>
        <w:t>Dielectric and Insulation Testing</w:t>
      </w:r>
      <w:r>
        <w:br/>
      </w:r>
      <w:r w:rsidRPr="000F36A3">
        <w:t>The fully assembled unit shall undergo dielectric testing to verify insulation integrity under various operational configurations (e.g., main switch open/closed, stage switches open/closed).</w:t>
      </w:r>
    </w:p>
    <w:p w14:paraId="19BBE992" w14:textId="77777777" w:rsidR="000F36A3" w:rsidRPr="000F36A3" w:rsidRDefault="000F36A3" w:rsidP="000F36A3">
      <w:pPr>
        <w:pStyle w:val="11Head-Bullet"/>
      </w:pPr>
      <w:r w:rsidRPr="000F36A3">
        <w:rPr>
          <w:b/>
          <w:bCs/>
        </w:rPr>
        <w:t>Power-Frequency Withstand:</w:t>
      </w:r>
      <w:r w:rsidRPr="000F36A3">
        <w:t xml:space="preserve"> Conducted per IEEE C37.20.3 and IEEE Std 4.</w:t>
      </w:r>
    </w:p>
    <w:p w14:paraId="58FC347E" w14:textId="77777777" w:rsidR="000F36A3" w:rsidRPr="000F36A3" w:rsidRDefault="000F36A3" w:rsidP="000F36A3">
      <w:pPr>
        <w:pStyle w:val="11Head-Bullet"/>
      </w:pPr>
      <w:r w:rsidRPr="000F36A3">
        <w:rPr>
          <w:b/>
          <w:bCs/>
        </w:rPr>
        <w:t>Lightning-Impulse Withstand (BIL):</w:t>
      </w:r>
      <w:r w:rsidRPr="000F36A3">
        <w:t xml:space="preserve"> Conducted in accordance with IEEE C37.57 and IEEE C37.20.3, Table 1.</w:t>
      </w:r>
    </w:p>
    <w:p w14:paraId="5E76B74A" w14:textId="351B5755" w:rsidR="000F36A3" w:rsidRPr="00FA67A8" w:rsidRDefault="000F36A3" w:rsidP="00055CCE">
      <w:pPr>
        <w:pStyle w:val="Heading2"/>
        <w:rPr>
          <w:b/>
          <w:bCs/>
        </w:rPr>
      </w:pPr>
      <w:r w:rsidRPr="00FA67A8">
        <w:rPr>
          <w:b/>
          <w:bCs/>
        </w:rPr>
        <w:t>Component-Specific Testing</w:t>
      </w:r>
    </w:p>
    <w:p w14:paraId="0B6272D8" w14:textId="77777777" w:rsidR="000F36A3" w:rsidRPr="000F36A3" w:rsidRDefault="000F36A3" w:rsidP="000F36A3">
      <w:pPr>
        <w:pStyle w:val="11Head-Bullet"/>
      </w:pPr>
      <w:r w:rsidRPr="000F36A3">
        <w:rPr>
          <w:b/>
          <w:bCs/>
        </w:rPr>
        <w:t>Air Disconnect Switch:</w:t>
      </w:r>
      <w:r w:rsidRPr="000F36A3">
        <w:t xml:space="preserve"> Shall include Contact Resistance (Ductor) testing, a 1-minute Hi-Pot test at standard voltage, and mechanical operation verification.</w:t>
      </w:r>
    </w:p>
    <w:p w14:paraId="5ADC7D97" w14:textId="50C47787" w:rsidR="000F36A3" w:rsidRPr="000F36A3" w:rsidRDefault="00A46519" w:rsidP="000F36A3">
      <w:pPr>
        <w:pStyle w:val="11Head-Bullet"/>
      </w:pPr>
      <w:r>
        <w:rPr>
          <w:b/>
          <w:bCs/>
        </w:rPr>
        <w:t xml:space="preserve">Tuning </w:t>
      </w:r>
      <w:r w:rsidR="000F36A3" w:rsidRPr="000F36A3">
        <w:rPr>
          <w:b/>
          <w:bCs/>
        </w:rPr>
        <w:t>Reactors:</w:t>
      </w:r>
      <w:r w:rsidR="000F36A3" w:rsidRPr="000F36A3">
        <w:t xml:space="preserve"> Shall be tested for inductance accuracy and insulation integrity.</w:t>
      </w:r>
    </w:p>
    <w:p w14:paraId="57CB01BD" w14:textId="77777777" w:rsidR="000F36A3" w:rsidRPr="000F36A3" w:rsidRDefault="000F36A3" w:rsidP="000F36A3">
      <w:pPr>
        <w:pStyle w:val="11Head-Bullet"/>
      </w:pPr>
      <w:r w:rsidRPr="000F36A3">
        <w:rPr>
          <w:b/>
          <w:bCs/>
        </w:rPr>
        <w:t>Instrument Transformers (CTs/PTs):</w:t>
      </w:r>
      <w:r w:rsidRPr="000F36A3">
        <w:t xml:space="preserve"> Shall undergo Turns Ratio, Polarity, Insulation (Megger), and Excitation testing per IEEE C57.13.</w:t>
      </w:r>
    </w:p>
    <w:p w14:paraId="220EA17A" w14:textId="77777777" w:rsidR="000F36A3" w:rsidRPr="000F36A3" w:rsidRDefault="000F36A3" w:rsidP="000F36A3">
      <w:pPr>
        <w:pStyle w:val="11Head-Bullet"/>
      </w:pPr>
      <w:r w:rsidRPr="000F36A3">
        <w:rPr>
          <w:b/>
          <w:bCs/>
        </w:rPr>
        <w:t>Surge Arresters:</w:t>
      </w:r>
      <w:r w:rsidRPr="000F36A3">
        <w:t xml:space="preserve"> Verification of Reference Voltage, Residual/Discharge Voltage, Partial Discharge, and Power Frequency withstand.</w:t>
      </w:r>
    </w:p>
    <w:p w14:paraId="26559BCA" w14:textId="77777777" w:rsidR="000F36A3" w:rsidRPr="000F36A3" w:rsidRDefault="000F36A3" w:rsidP="000F36A3">
      <w:pPr>
        <w:pStyle w:val="11Head-Bullet"/>
      </w:pPr>
      <w:r w:rsidRPr="000F36A3">
        <w:rPr>
          <w:b/>
          <w:bCs/>
        </w:rPr>
        <w:t>Capacitors (if applicable):</w:t>
      </w:r>
      <w:r w:rsidRPr="000F36A3">
        <w:t xml:space="preserve"> Shall include leak testing, capacitance and loss (tan delta) measurement, discharge resistor verification, and high-voltage ground testing.</w:t>
      </w:r>
    </w:p>
    <w:p w14:paraId="3D465F63" w14:textId="56E446F0" w:rsidR="000F36A3" w:rsidRPr="00FA67A8" w:rsidRDefault="000F36A3" w:rsidP="00055CCE">
      <w:pPr>
        <w:pStyle w:val="Heading2"/>
        <w:rPr>
          <w:b/>
          <w:bCs/>
        </w:rPr>
      </w:pPr>
      <w:r w:rsidRPr="00FA67A8">
        <w:rPr>
          <w:b/>
          <w:bCs/>
        </w:rPr>
        <w:t>Advanced Switching Device Testing</w:t>
      </w:r>
    </w:p>
    <w:p w14:paraId="4FC62BFC" w14:textId="7C6C86F3" w:rsidR="000F36A3" w:rsidRPr="000F36A3" w:rsidRDefault="000F36A3" w:rsidP="000F36A3">
      <w:pPr>
        <w:pStyle w:val="11Head-Bullet"/>
      </w:pPr>
      <w:r w:rsidRPr="000F36A3">
        <w:rPr>
          <w:b/>
          <w:bCs/>
        </w:rPr>
        <w:t>Southern States CapSwitcher®:</w:t>
      </w:r>
      <w:r w:rsidRPr="000F36A3">
        <w:t xml:space="preserve"> Testing shall include Hi-Pot, Timing, Contact Resistance, Heater Wattage, SF6 Leak Check, Gas Density Switch verification, and Slow-Close operational checks.</w:t>
      </w:r>
    </w:p>
    <w:p w14:paraId="00924648" w14:textId="1711BBBE" w:rsidR="000F36A3" w:rsidRDefault="000F36A3" w:rsidP="000F36A3">
      <w:pPr>
        <w:pStyle w:val="11Head-Bullet"/>
      </w:pPr>
      <w:r w:rsidRPr="000F36A3">
        <w:rPr>
          <w:b/>
          <w:bCs/>
        </w:rPr>
        <w:t>SF6 Circuit Breakers:</w:t>
      </w:r>
      <w:r w:rsidRPr="000F36A3">
        <w:t xml:space="preserve"> Shall undergo mechanical operation cycles, Power-Frequency Withstand, Contact Resistance, and Operating Time (Opening/Closing) benchmarks.</w:t>
      </w:r>
    </w:p>
    <w:p w14:paraId="4BF41F9B" w14:textId="77777777" w:rsidR="00CF2439" w:rsidRDefault="00CF2439" w:rsidP="00CF2439">
      <w:pPr>
        <w:pStyle w:val="11Head-Bullet"/>
        <w:numPr>
          <w:ilvl w:val="0"/>
          <w:numId w:val="0"/>
        </w:numPr>
        <w:ind w:left="450" w:hanging="270"/>
      </w:pPr>
    </w:p>
    <w:p w14:paraId="52B7A754" w14:textId="77777777" w:rsidR="00CF2439" w:rsidRPr="000F36A3" w:rsidRDefault="00CF2439" w:rsidP="00CF2439">
      <w:pPr>
        <w:pStyle w:val="11Head-Bullet"/>
        <w:numPr>
          <w:ilvl w:val="0"/>
          <w:numId w:val="0"/>
        </w:numPr>
        <w:ind w:left="450" w:hanging="270"/>
      </w:pPr>
    </w:p>
    <w:p w14:paraId="1866A72D" w14:textId="2E6395FC" w:rsidR="000F36A3" w:rsidRPr="000F36A3" w:rsidRDefault="000F36A3" w:rsidP="00055CCE">
      <w:pPr>
        <w:pStyle w:val="Heading2"/>
      </w:pPr>
      <w:r w:rsidRPr="000F36A3">
        <w:rPr>
          <w:b/>
          <w:bCs/>
        </w:rPr>
        <w:lastRenderedPageBreak/>
        <w:t>Control and Protection Verification</w:t>
      </w:r>
      <w:r>
        <w:br/>
      </w:r>
      <w:r w:rsidRPr="000F36A3">
        <w:t>All relays, meters, and control devices shall be programmed, calibrated, and functionally tested prior to shipment.</w:t>
      </w:r>
    </w:p>
    <w:p w14:paraId="352827CC" w14:textId="77777777" w:rsidR="000F36A3" w:rsidRPr="000F36A3" w:rsidRDefault="000F36A3" w:rsidP="000F36A3">
      <w:pPr>
        <w:pStyle w:val="11Head-Bullet"/>
      </w:pPr>
      <w:r w:rsidRPr="000F36A3">
        <w:rPr>
          <w:b/>
          <w:bCs/>
        </w:rPr>
        <w:t>Documentation:</w:t>
      </w:r>
      <w:r w:rsidRPr="000F36A3">
        <w:t xml:space="preserve"> Final relay settings and calibration constants shall be documented and included in the O&amp;M manuals.</w:t>
      </w:r>
    </w:p>
    <w:p w14:paraId="608B8B64" w14:textId="77777777" w:rsidR="000F36A3" w:rsidRPr="000F36A3" w:rsidRDefault="000F36A3" w:rsidP="000F36A3">
      <w:pPr>
        <w:pStyle w:val="11Head-Bullet"/>
      </w:pPr>
      <w:r w:rsidRPr="000F36A3">
        <w:rPr>
          <w:b/>
          <w:bCs/>
        </w:rPr>
        <w:t>Wiring:</w:t>
      </w:r>
      <w:r w:rsidRPr="000F36A3">
        <w:t xml:space="preserve"> A point-to-point continuity check of all control wiring shall be performed.</w:t>
      </w:r>
    </w:p>
    <w:p w14:paraId="646F55EA" w14:textId="1D3B8FC4" w:rsidR="000F36A3" w:rsidRPr="00FA67A8" w:rsidRDefault="000F36A3" w:rsidP="00055CCE">
      <w:pPr>
        <w:pStyle w:val="Heading2"/>
        <w:rPr>
          <w:b/>
          <w:bCs/>
        </w:rPr>
      </w:pPr>
      <w:r w:rsidRPr="00FA67A8">
        <w:rPr>
          <w:b/>
          <w:bCs/>
        </w:rPr>
        <w:t>Final Inspection and Witnessing</w:t>
      </w:r>
    </w:p>
    <w:p w14:paraId="1E3FE301" w14:textId="77777777" w:rsidR="000F36A3" w:rsidRPr="000F36A3" w:rsidRDefault="000F36A3" w:rsidP="000F36A3">
      <w:pPr>
        <w:pStyle w:val="11Head-Bullet"/>
      </w:pPr>
      <w:r w:rsidRPr="000F36A3">
        <w:rPr>
          <w:b/>
          <w:bCs/>
        </w:rPr>
        <w:t>Assembly:</w:t>
      </w:r>
      <w:r w:rsidRPr="000F36A3">
        <w:t xml:space="preserve"> The equipment shall be fully assembled and undergo a final mechanical and electrical integration test prior to shipment.</w:t>
      </w:r>
    </w:p>
    <w:p w14:paraId="13F44D8C" w14:textId="77777777" w:rsidR="000F36A3" w:rsidRPr="000F36A3" w:rsidRDefault="000F36A3" w:rsidP="000F36A3">
      <w:pPr>
        <w:pStyle w:val="11Head-Bullet"/>
      </w:pPr>
      <w:r w:rsidRPr="000F36A3">
        <w:rPr>
          <w:b/>
          <w:bCs/>
        </w:rPr>
        <w:t>Certified Reports:</w:t>
      </w:r>
      <w:r w:rsidRPr="000F36A3">
        <w:t xml:space="preserve"> All test reports must be signed by a Professional Engineer or Quality Manager and approved by the customer before the equipment leaves the factory.</w:t>
      </w:r>
    </w:p>
    <w:p w14:paraId="1E4F9F78" w14:textId="77777777" w:rsidR="000F36A3" w:rsidRPr="000F36A3" w:rsidRDefault="000F36A3" w:rsidP="000F36A3">
      <w:pPr>
        <w:pStyle w:val="11Head-Bullet"/>
      </w:pPr>
      <w:r w:rsidRPr="000F36A3">
        <w:rPr>
          <w:b/>
          <w:bCs/>
        </w:rPr>
        <w:t>Witness Testing:</w:t>
      </w:r>
      <w:r w:rsidRPr="000F36A3">
        <w:t xml:space="preserve"> The customer reserves the right to witness any or all tests at the manufacturer’s facility at no additional contract cost. The manufacturer shall provide a minimum of </w:t>
      </w:r>
      <w:r w:rsidRPr="000F36A3">
        <w:rPr>
          <w:b/>
          <w:bCs/>
        </w:rPr>
        <w:t>15 working days</w:t>
      </w:r>
      <w:r w:rsidRPr="000F36A3">
        <w:t xml:space="preserve"> notice prior to the commencement of witnessed testing.</w:t>
      </w:r>
    </w:p>
    <w:p w14:paraId="70215166" w14:textId="77777777" w:rsidR="000F36A3" w:rsidRPr="000F36A3" w:rsidRDefault="000F36A3" w:rsidP="000F36A3">
      <w:pPr>
        <w:pStyle w:val="Heading1"/>
      </w:pPr>
      <w:r w:rsidRPr="000F36A3">
        <w:t>ACCEPTABLE PRODUCT AND SUPPLIERS</w:t>
      </w:r>
    </w:p>
    <w:p w14:paraId="493CA147" w14:textId="2E30F339" w:rsidR="000F36A3" w:rsidRPr="000F36A3" w:rsidRDefault="000F36A3" w:rsidP="00055CCE">
      <w:pPr>
        <w:pStyle w:val="Heading2"/>
      </w:pPr>
      <w:r w:rsidRPr="000F36A3">
        <w:rPr>
          <w:b/>
          <w:bCs/>
        </w:rPr>
        <w:t>Warranty Requirements</w:t>
      </w:r>
      <w:r>
        <w:rPr>
          <w:b/>
          <w:bCs/>
        </w:rPr>
        <w:br/>
      </w:r>
      <w:r w:rsidRPr="000F36A3">
        <w:t>The supplier shall provide a standard warranty for all equipment and components for a period of 18 months from the date of shipment or 12 months from the date of energization, whichever occurs first. In addition to the standard warranty, the supplier must have extended warranty programs available for purchase at the time of the bid.</w:t>
      </w:r>
    </w:p>
    <w:p w14:paraId="3603F7EF" w14:textId="4EAFA3EB" w:rsidR="000F36A3" w:rsidRPr="000F36A3" w:rsidRDefault="000F36A3" w:rsidP="00055CCE">
      <w:pPr>
        <w:pStyle w:val="Heading2"/>
      </w:pPr>
      <w:r w:rsidRPr="000F36A3">
        <w:rPr>
          <w:b/>
          <w:bCs/>
        </w:rPr>
        <w:t>Testing Capabilities</w:t>
      </w:r>
      <w:r>
        <w:rPr>
          <w:b/>
          <w:bCs/>
        </w:rPr>
        <w:br/>
      </w:r>
      <w:r w:rsidRPr="000F36A3">
        <w:t>The supplier must demonstrate the facility infrastructure and technical expertise required to meet all primary, dielectric, and functional testing requirements specified in Section 4.10 (Testing and Test Reports).</w:t>
      </w:r>
    </w:p>
    <w:p w14:paraId="514B6F2E" w14:textId="2D4C5CEE" w:rsidR="000F36A3" w:rsidRPr="000F36A3" w:rsidRDefault="000F36A3" w:rsidP="00055CCE">
      <w:pPr>
        <w:pStyle w:val="Heading2"/>
      </w:pPr>
      <w:r w:rsidRPr="000F36A3">
        <w:rPr>
          <w:b/>
          <w:bCs/>
        </w:rPr>
        <w:t>Quality System Certification</w:t>
      </w:r>
      <w:r>
        <w:rPr>
          <w:b/>
          <w:bCs/>
        </w:rPr>
        <w:br/>
      </w:r>
      <w:r w:rsidRPr="000F36A3">
        <w:t>The manufacturer shall maintain a current ISO 9001 certification. This certification must be issued by an independent, ISO-accredited auditing firm. A valid copy of the ISO 9001 certificate shall be included as a mandatory component of the bid package.</w:t>
      </w:r>
    </w:p>
    <w:p w14:paraId="55F50C01" w14:textId="15A55E87" w:rsidR="000F36A3" w:rsidRPr="000F36A3" w:rsidRDefault="000F36A3" w:rsidP="00055CCE">
      <w:pPr>
        <w:pStyle w:val="Heading2"/>
      </w:pPr>
      <w:r w:rsidRPr="000F36A3">
        <w:rPr>
          <w:b/>
          <w:bCs/>
        </w:rPr>
        <w:t>Manufacturer Experience and References</w:t>
      </w:r>
      <w:r>
        <w:rPr>
          <w:b/>
          <w:bCs/>
        </w:rPr>
        <w:br/>
      </w:r>
      <w:r w:rsidRPr="000F36A3">
        <w:t xml:space="preserve">The supplier shall demonstrate that they are a regular, established manufacturer of medium-voltage automatic metal-enclosed shunt </w:t>
      </w:r>
      <w:r w:rsidR="009F291E">
        <w:t>filter bank</w:t>
      </w:r>
      <w:r w:rsidRPr="000F36A3">
        <w:t>s. To verify technical proficiency and product reliability, the following shall be provided upon request:</w:t>
      </w:r>
    </w:p>
    <w:p w14:paraId="34DA6977" w14:textId="77777777" w:rsidR="000F36A3" w:rsidRPr="000F36A3" w:rsidRDefault="000F36A3" w:rsidP="000F36A3">
      <w:pPr>
        <w:pStyle w:val="11Head-Bullet"/>
      </w:pPr>
      <w:r w:rsidRPr="000F36A3">
        <w:rPr>
          <w:b/>
          <w:bCs/>
        </w:rPr>
        <w:t>Product Literature:</w:t>
      </w:r>
      <w:r w:rsidRPr="000F36A3">
        <w:t xml:space="preserve"> Formal technical specifications and brochures detailing the manufacturer's shunt reactor product line.</w:t>
      </w:r>
    </w:p>
    <w:p w14:paraId="3A0CD1AC" w14:textId="77777777" w:rsidR="000F36A3" w:rsidRDefault="000F36A3" w:rsidP="000F36A3">
      <w:pPr>
        <w:pStyle w:val="11Head-Bullet"/>
      </w:pPr>
      <w:r w:rsidRPr="000F36A3">
        <w:rPr>
          <w:b/>
          <w:bCs/>
        </w:rPr>
        <w:t>Reference List:</w:t>
      </w:r>
      <w:r w:rsidRPr="000F36A3">
        <w:t xml:space="preserve"> A list of customers and projects involving the successful installation and operation of similar metal-enclosed reactive compensation systems.</w:t>
      </w:r>
    </w:p>
    <w:p w14:paraId="5876B87C" w14:textId="45DB7BE6" w:rsidR="000F36A3" w:rsidRPr="000F36A3" w:rsidRDefault="000F36A3" w:rsidP="00896382">
      <w:pPr>
        <w:pStyle w:val="Heading2"/>
      </w:pPr>
      <w:r w:rsidRPr="00CF2439">
        <w:rPr>
          <w:b/>
          <w:bCs/>
        </w:rPr>
        <w:t>Acceptable Manufacturer and Product:</w:t>
      </w:r>
      <w:r>
        <w:br/>
      </w:r>
      <w:r>
        <w:br/>
      </w:r>
      <w:r w:rsidRPr="00CF2439">
        <w:rPr>
          <w:b/>
          <w:bCs/>
        </w:rPr>
        <w:t>VarStec Power Solutions</w:t>
      </w:r>
      <w:r>
        <w:br/>
      </w:r>
      <w:hyperlink r:id="rId10" w:history="1">
        <w:r w:rsidRPr="003D1A0C">
          <w:rPr>
            <w:rStyle w:val="Hyperlink"/>
          </w:rPr>
          <w:t>Info@VarStec.com</w:t>
        </w:r>
      </w:hyperlink>
      <w:r>
        <w:br/>
        <w:t>VarStec.com</w:t>
      </w:r>
    </w:p>
    <w:p w14:paraId="4D8AAA9F" w14:textId="77777777" w:rsidR="00E21308" w:rsidRDefault="00E21308" w:rsidP="00AA4DE3">
      <w:pPr>
        <w:pStyle w:val="11Head-Bullet"/>
        <w:numPr>
          <w:ilvl w:val="0"/>
          <w:numId w:val="0"/>
        </w:numPr>
        <w:ind w:left="450"/>
      </w:pPr>
    </w:p>
    <w:sectPr w:rsidR="00E21308" w:rsidSect="006B06E4">
      <w:headerReference w:type="default" r:id="rId11"/>
      <w:footerReference w:type="default" r:id="rId12"/>
      <w:headerReference w:type="first" r:id="rId13"/>
      <w:footerReference w:type="first" r:id="rId14"/>
      <w:pgSz w:w="12240" w:h="15840"/>
      <w:pgMar w:top="1915" w:right="720" w:bottom="1440" w:left="1440" w:header="634" w:footer="9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4A338" w14:textId="77777777" w:rsidR="00E1392B" w:rsidRDefault="00E1392B">
      <w:r>
        <w:separator/>
      </w:r>
    </w:p>
  </w:endnote>
  <w:endnote w:type="continuationSeparator" w:id="0">
    <w:p w14:paraId="2E628722" w14:textId="77777777" w:rsidR="00E1392B" w:rsidRDefault="00E1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266C" w14:textId="195AEB57" w:rsidR="00C16E03" w:rsidRDefault="00D8422A">
    <w:pPr>
      <w:pStyle w:val="Footer"/>
    </w:pPr>
    <w:r>
      <w:rPr>
        <w:noProof/>
      </w:rPr>
      <mc:AlternateContent>
        <mc:Choice Requires="wps">
          <w:drawing>
            <wp:anchor distT="0" distB="0" distL="114300" distR="114300" simplePos="0" relativeHeight="251658250" behindDoc="0" locked="0" layoutInCell="1" allowOverlap="1" wp14:anchorId="5003321C" wp14:editId="7AE0B16C">
              <wp:simplePos x="0" y="0"/>
              <wp:positionH relativeFrom="column">
                <wp:posOffset>4432106</wp:posOffset>
              </wp:positionH>
              <wp:positionV relativeFrom="paragraph">
                <wp:posOffset>40695</wp:posOffset>
              </wp:positionV>
              <wp:extent cx="1923802" cy="409433"/>
              <wp:effectExtent l="0" t="0" r="0" b="0"/>
              <wp:wrapNone/>
              <wp:docPr id="3447150" name="Text Box 4"/>
              <wp:cNvGraphicFramePr/>
              <a:graphic xmlns:a="http://schemas.openxmlformats.org/drawingml/2006/main">
                <a:graphicData uri="http://schemas.microsoft.com/office/word/2010/wordprocessingShape">
                  <wps:wsp>
                    <wps:cNvSpPr txBox="1"/>
                    <wps:spPr>
                      <a:xfrm>
                        <a:off x="0" y="0"/>
                        <a:ext cx="1923802" cy="409433"/>
                      </a:xfrm>
                      <a:prstGeom prst="rect">
                        <a:avLst/>
                      </a:prstGeom>
                      <a:noFill/>
                      <a:ln w="6350">
                        <a:noFill/>
                      </a:ln>
                    </wps:spPr>
                    <wps:txbx>
                      <w:txbxContent>
                        <w:p w14:paraId="622E8A25" w14:textId="77777777" w:rsidR="00D8422A" w:rsidRDefault="00E1392B"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3321C" id="_x0000_t202" coordsize="21600,21600" o:spt="202" path="m,l,21600r21600,l21600,xe">
              <v:stroke joinstyle="miter"/>
              <v:path gradientshapeok="t" o:connecttype="rect"/>
            </v:shapetype>
            <v:shape id="Text Box 4" o:spid="_x0000_s1027" type="#_x0000_t202" style="position:absolute;margin-left:349pt;margin-top:3.2pt;width:151.5pt;height:32.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" filled="f" stroked="f" strokeweight=".5pt">
              <v:textbox>
                <w:txbxContent>
                  <w:p w14:paraId="622E8A25" w14:textId="77777777" w:rsidR="00D8422A" w:rsidRDefault="00E1392B"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2EECB1CD" wp14:editId="5513914C">
              <wp:simplePos x="0" y="0"/>
              <wp:positionH relativeFrom="column">
                <wp:posOffset>-445273</wp:posOffset>
              </wp:positionH>
              <wp:positionV relativeFrom="paragraph">
                <wp:posOffset>7951</wp:posOffset>
              </wp:positionV>
              <wp:extent cx="6732650" cy="0"/>
              <wp:effectExtent l="0" t="0" r="0" b="0"/>
              <wp:wrapNone/>
              <wp:docPr id="1397963856" name="Straight Connector 3"/>
              <wp:cNvGraphicFramePr/>
              <a:graphic xmlns:a="http://schemas.openxmlformats.org/drawingml/2006/main">
                <a:graphicData uri="http://schemas.microsoft.com/office/word/2010/wordprocessingShape">
                  <wps:wsp>
                    <wps:cNvCnPr/>
                    <wps:spPr>
                      <a:xfrm flipV="1">
                        <a:off x="0" y="0"/>
                        <a:ext cx="6732650"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5DD8E" id="Straight Connector 3" o:spid="_x0000_s1026"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5pt,.65pt" to="495.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" strokecolor="#e00" strokeweight="2pt">
              <v:shadow on="t" color="black" opacity="24903f" origin=",.5" offset="0,.55556mm"/>
            </v:line>
          </w:pict>
        </mc:Fallback>
      </mc:AlternateContent>
    </w:r>
    <w:r>
      <w:rPr>
        <w:noProof/>
      </w:rPr>
      <mc:AlternateContent>
        <mc:Choice Requires="wps">
          <w:drawing>
            <wp:anchor distT="0" distB="0" distL="114300" distR="114300" simplePos="0" relativeHeight="251658248" behindDoc="0" locked="0" layoutInCell="1" allowOverlap="1" wp14:anchorId="24FD2733" wp14:editId="5ADAC59C">
              <wp:simplePos x="0" y="0"/>
              <wp:positionH relativeFrom="column">
                <wp:posOffset>-496957</wp:posOffset>
              </wp:positionH>
              <wp:positionV relativeFrom="paragraph">
                <wp:posOffset>136359</wp:posOffset>
              </wp:positionV>
              <wp:extent cx="2590800" cy="344170"/>
              <wp:effectExtent l="0" t="0" r="0" b="0"/>
              <wp:wrapSquare wrapText="bothSides"/>
              <wp:docPr id="691266548"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FD2733" id="_x0000_s1028" type="#_x0000_t202" style="position:absolute;margin-left:-39.15pt;margin-top:10.75pt;width:204pt;height:27.1pt;z-index:251658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" filled="f" stroked="f" strokeweight=".5pt">
              <v:textbo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v:textbox>
              <w10:wrap type="square"/>
            </v:shape>
          </w:pict>
        </mc:Fallback>
      </mc:AlternateContent>
    </w:r>
  </w:p>
  <w:p w14:paraId="493EEE13" w14:textId="2FA0C1C4" w:rsidR="00C16E03" w:rsidRDefault="00C16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1A1" w14:textId="5014A681" w:rsidR="00D8422A" w:rsidRDefault="00D8422A">
    <w:pPr>
      <w:pStyle w:val="Footer"/>
    </w:pPr>
    <w:r>
      <w:rPr>
        <w:noProof/>
      </w:rPr>
      <mc:AlternateContent>
        <mc:Choice Requires="wps">
          <w:drawing>
            <wp:anchor distT="0" distB="0" distL="114300" distR="114300" simplePos="0" relativeHeight="251658243" behindDoc="0" locked="0" layoutInCell="1" allowOverlap="1" wp14:anchorId="65C7F1F9" wp14:editId="0F5386C3">
              <wp:simplePos x="0" y="0"/>
              <wp:positionH relativeFrom="column">
                <wp:posOffset>-596265</wp:posOffset>
              </wp:positionH>
              <wp:positionV relativeFrom="paragraph">
                <wp:posOffset>-19988</wp:posOffset>
              </wp:positionV>
              <wp:extent cx="2590800" cy="344170"/>
              <wp:effectExtent l="0" t="0" r="0" b="0"/>
              <wp:wrapNone/>
              <wp:docPr id="1989089970"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C7F1F9" id="_x0000_t202" coordsize="21600,21600" o:spt="202" path="m,l,21600r21600,l21600,xe">
              <v:stroke joinstyle="miter"/>
              <v:path gradientshapeok="t" o:connecttype="rect"/>
            </v:shapetype>
            <v:shape id="_x0000_s1030" type="#_x0000_t202" style="position:absolute;margin-left:-46.95pt;margin-top:-1.55pt;width:204pt;height:27.1pt;z-index:25165824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" filled="f" stroked="f" strokeweight=".5pt">
              <v:textbo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40B32708" wp14:editId="51DCE3D5">
              <wp:simplePos x="0" y="0"/>
              <wp:positionH relativeFrom="column">
                <wp:posOffset>-524786</wp:posOffset>
              </wp:positionH>
              <wp:positionV relativeFrom="paragraph">
                <wp:posOffset>-31805</wp:posOffset>
              </wp:positionV>
              <wp:extent cx="6718102" cy="11875"/>
              <wp:effectExtent l="0" t="0" r="26035" b="26670"/>
              <wp:wrapNone/>
              <wp:docPr id="2127286234" name="Straight Connector 3"/>
              <wp:cNvGraphicFramePr/>
              <a:graphic xmlns:a="http://schemas.openxmlformats.org/drawingml/2006/main">
                <a:graphicData uri="http://schemas.microsoft.com/office/word/2010/wordprocessingShape">
                  <wps:wsp>
                    <wps:cNvCnPr/>
                    <wps:spPr>
                      <a:xfrm>
                        <a:off x="0" y="0"/>
                        <a:ext cx="6718102" cy="11875"/>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3B813E" id="Straight Connector 3"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pt,-2.5pt" to="48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" strokecolor="#e00" strokeweight="2pt">
              <v:shadow on="t" color="black" opacity="24903f" origin=",.5" offset="0,.55556mm"/>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860E3" w14:textId="77777777" w:rsidR="00E1392B" w:rsidRDefault="00E1392B">
      <w:r>
        <w:separator/>
      </w:r>
    </w:p>
  </w:footnote>
  <w:footnote w:type="continuationSeparator" w:id="0">
    <w:p w14:paraId="6DB5F4EC" w14:textId="77777777" w:rsidR="00E1392B" w:rsidRDefault="00E1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67EE" w14:textId="070F2328" w:rsidR="00C16E03" w:rsidRDefault="00D8422A">
    <w:pPr>
      <w:pStyle w:val="Header"/>
    </w:pPr>
    <w:r>
      <w:rPr>
        <w:noProof/>
      </w:rPr>
      <mc:AlternateContent>
        <mc:Choice Requires="wps">
          <w:drawing>
            <wp:anchor distT="0" distB="0" distL="114300" distR="114300" simplePos="0" relativeHeight="251658247" behindDoc="0" locked="0" layoutInCell="1" allowOverlap="1" wp14:anchorId="6AC4681B" wp14:editId="5F0A4892">
              <wp:simplePos x="0" y="0"/>
              <wp:positionH relativeFrom="column">
                <wp:posOffset>-445135</wp:posOffset>
              </wp:positionH>
              <wp:positionV relativeFrom="paragraph">
                <wp:posOffset>-190196</wp:posOffset>
              </wp:positionV>
              <wp:extent cx="3514476" cy="578375"/>
              <wp:effectExtent l="0" t="0" r="0" b="0"/>
              <wp:wrapNone/>
              <wp:docPr id="1381317556" name="Text Box 2"/>
              <wp:cNvGraphicFramePr/>
              <a:graphic xmlns:a="http://schemas.openxmlformats.org/drawingml/2006/main">
                <a:graphicData uri="http://schemas.microsoft.com/office/word/2010/wordprocessingShape">
                  <wps:wsp>
                    <wps:cNvSpPr txBox="1"/>
                    <wps:spPr>
                      <a:xfrm>
                        <a:off x="0" y="0"/>
                        <a:ext cx="3514476" cy="578375"/>
                      </a:xfrm>
                      <a:prstGeom prst="rect">
                        <a:avLst/>
                      </a:prstGeom>
                      <a:noFill/>
                      <a:ln w="6350">
                        <a:noFill/>
                      </a:ln>
                    </wps:spPr>
                    <wps:txbx>
                      <w:txbxContent>
                        <w:p w14:paraId="04673F36" w14:textId="77777777" w:rsidR="001C3568" w:rsidRDefault="005D221A" w:rsidP="005D221A">
                          <w:pPr>
                            <w:pStyle w:val="Title"/>
                            <w:jc w:val="left"/>
                            <w:rPr>
                              <w:sz w:val="20"/>
                              <w:szCs w:val="20"/>
                            </w:rPr>
                          </w:pPr>
                          <w:r w:rsidRPr="005D221A">
                            <w:rPr>
                              <w:sz w:val="20"/>
                              <w:szCs w:val="20"/>
                            </w:rPr>
                            <w:t xml:space="preserve">Guide Form Specification </w:t>
                          </w:r>
                        </w:p>
                        <w:p w14:paraId="2EAB996F" w14:textId="26C59163" w:rsidR="005D221A" w:rsidRPr="005D221A" w:rsidRDefault="005D221A" w:rsidP="005D221A">
                          <w:pPr>
                            <w:pStyle w:val="Title"/>
                            <w:jc w:val="left"/>
                            <w:rPr>
                              <w:sz w:val="20"/>
                              <w:szCs w:val="20"/>
                            </w:rPr>
                          </w:pPr>
                          <w:r w:rsidRPr="005D221A">
                            <w:rPr>
                              <w:sz w:val="20"/>
                              <w:szCs w:val="20"/>
                            </w:rPr>
                            <w:t>Medium-Voltage Metal-Enclosed Harmonic Filter Banks for Semiconductor and Precision Manufacturing Applications</w:t>
                          </w:r>
                        </w:p>
                        <w:p w14:paraId="5B0C809A" w14:textId="349E0ED4" w:rsidR="00D8422A" w:rsidRPr="005D221A" w:rsidRDefault="00D8422A" w:rsidP="005D221A">
                          <w:pPr>
                            <w:pStyle w:val="Title"/>
                            <w:jc w:val="left"/>
                            <w:rPr>
                              <w:rFonts w:cs="Calibri"/>
                              <w:b w:val="0"/>
                              <w:bCs w:val="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4681B" id="_x0000_t202" coordsize="21600,21600" o:spt="202" path="m,l,21600r21600,l21600,xe">
              <v:stroke joinstyle="miter"/>
              <v:path gradientshapeok="t" o:connecttype="rect"/>
            </v:shapetype>
            <v:shape id="Text Box 2" o:spid="_x0000_s1026" type="#_x0000_t202" style="position:absolute;margin-left:-35.05pt;margin-top:-15pt;width:276.75pt;height:4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TJFgIAACw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" filled="f" stroked="f" strokeweight=".5pt">
              <v:textbox>
                <w:txbxContent>
                  <w:p w14:paraId="04673F36" w14:textId="77777777" w:rsidR="001C3568" w:rsidRDefault="005D221A" w:rsidP="005D221A">
                    <w:pPr>
                      <w:pStyle w:val="Title"/>
                      <w:jc w:val="left"/>
                      <w:rPr>
                        <w:sz w:val="20"/>
                        <w:szCs w:val="20"/>
                      </w:rPr>
                    </w:pPr>
                    <w:r w:rsidRPr="005D221A">
                      <w:rPr>
                        <w:sz w:val="20"/>
                        <w:szCs w:val="20"/>
                      </w:rPr>
                      <w:t xml:space="preserve">Guide Form Specification </w:t>
                    </w:r>
                  </w:p>
                  <w:p w14:paraId="2EAB996F" w14:textId="26C59163" w:rsidR="005D221A" w:rsidRPr="005D221A" w:rsidRDefault="005D221A" w:rsidP="005D221A">
                    <w:pPr>
                      <w:pStyle w:val="Title"/>
                      <w:jc w:val="left"/>
                      <w:rPr>
                        <w:sz w:val="20"/>
                        <w:szCs w:val="20"/>
                      </w:rPr>
                    </w:pPr>
                    <w:r w:rsidRPr="005D221A">
                      <w:rPr>
                        <w:sz w:val="20"/>
                        <w:szCs w:val="20"/>
                      </w:rPr>
                      <w:t>Medium-Voltage Metal-Enclosed Harmonic Filter Banks for Semiconductor and Precision Manufacturing Applications</w:t>
                    </w:r>
                  </w:p>
                  <w:p w14:paraId="5B0C809A" w14:textId="349E0ED4" w:rsidR="00D8422A" w:rsidRPr="005D221A" w:rsidRDefault="00D8422A" w:rsidP="005D221A">
                    <w:pPr>
                      <w:pStyle w:val="Title"/>
                      <w:jc w:val="left"/>
                      <w:rPr>
                        <w:rFonts w:cs="Calibri"/>
                        <w:b w:val="0"/>
                        <w:bCs w:val="0"/>
                        <w:sz w:val="20"/>
                        <w:szCs w:val="20"/>
                      </w:rPr>
                    </w:pPr>
                  </w:p>
                </w:txbxContent>
              </v:textbox>
            </v:shape>
          </w:pict>
        </mc:Fallback>
      </mc:AlternateContent>
    </w:r>
    <w:r>
      <w:rPr>
        <w:noProof/>
      </w:rPr>
      <w:drawing>
        <wp:anchor distT="0" distB="0" distL="114300" distR="114300" simplePos="0" relativeHeight="251658245" behindDoc="1" locked="0" layoutInCell="1" allowOverlap="1" wp14:anchorId="7892C551" wp14:editId="181178BC">
          <wp:simplePos x="0" y="0"/>
          <wp:positionH relativeFrom="column">
            <wp:posOffset>4937760</wp:posOffset>
          </wp:positionH>
          <wp:positionV relativeFrom="paragraph">
            <wp:posOffset>-199418</wp:posOffset>
          </wp:positionV>
          <wp:extent cx="1290320" cy="463550"/>
          <wp:effectExtent l="0" t="0" r="5080" b="0"/>
          <wp:wrapNone/>
          <wp:docPr id="1453256007"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0320" cy="463550"/>
                  </a:xfrm>
                  <a:prstGeom prst="rect">
                    <a:avLst/>
                  </a:prstGeom>
                </pic:spPr>
              </pic:pic>
            </a:graphicData>
          </a:graphic>
          <wp14:sizeRelH relativeFrom="page">
            <wp14:pctWidth>0</wp14:pctWidth>
          </wp14:sizeRelH>
          <wp14:sizeRelV relativeFrom="page">
            <wp14:pctHeight>0</wp14:pctHeight>
          </wp14:sizeRelV>
        </wp:anchor>
      </w:drawing>
    </w:r>
  </w:p>
  <w:p w14:paraId="31B9EE8D" w14:textId="2DBF1EE8" w:rsidR="00C16E03" w:rsidRDefault="00D8422A">
    <w:pPr>
      <w:pStyle w:val="Header"/>
    </w:pPr>
    <w:r>
      <w:rPr>
        <w:noProof/>
      </w:rPr>
      <mc:AlternateContent>
        <mc:Choice Requires="wps">
          <w:drawing>
            <wp:anchor distT="0" distB="0" distL="114300" distR="114300" simplePos="0" relativeHeight="251658246" behindDoc="0" locked="0" layoutInCell="1" allowOverlap="1" wp14:anchorId="7BF1C6A9" wp14:editId="4BA9C3B7">
              <wp:simplePos x="0" y="0"/>
              <wp:positionH relativeFrom="margin">
                <wp:posOffset>-365760</wp:posOffset>
              </wp:positionH>
              <wp:positionV relativeFrom="paragraph">
                <wp:posOffset>142489</wp:posOffset>
              </wp:positionV>
              <wp:extent cx="6724962" cy="0"/>
              <wp:effectExtent l="0" t="0" r="0" b="0"/>
              <wp:wrapNone/>
              <wp:docPr id="689986508" name="Straight Connector 3"/>
              <wp:cNvGraphicFramePr/>
              <a:graphic xmlns:a="http://schemas.openxmlformats.org/drawingml/2006/main">
                <a:graphicData uri="http://schemas.microsoft.com/office/word/2010/wordprocessingShape">
                  <wps:wsp>
                    <wps:cNvCnPr/>
                    <wps:spPr>
                      <a:xfrm flipV="1">
                        <a:off x="0" y="0"/>
                        <a:ext cx="6724962"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08A144" id="Straight Connector 3" o:spid="_x0000_s1026" style="position:absolute;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8pt,11.2pt" to="500.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" strokecolor="#e00" strokeweight="2pt">
              <v:shadow on="t" color="black" opacity="24903f" origin=",.5" offset="0,.55556mm"/>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51EF" w14:textId="61036E81" w:rsidR="00D8422A" w:rsidRDefault="00D8422A">
    <w:pPr>
      <w:pStyle w:val="Header"/>
    </w:pPr>
    <w:r>
      <w:rPr>
        <w:noProof/>
      </w:rPr>
      <mc:AlternateContent>
        <mc:Choice Requires="wps">
          <w:drawing>
            <wp:anchor distT="0" distB="0" distL="114300" distR="114300" simplePos="0" relativeHeight="251658241" behindDoc="0" locked="0" layoutInCell="1" allowOverlap="1" wp14:anchorId="34FDDF21" wp14:editId="2527C29D">
              <wp:simplePos x="0" y="0"/>
              <wp:positionH relativeFrom="column">
                <wp:posOffset>3931948</wp:posOffset>
              </wp:positionH>
              <wp:positionV relativeFrom="paragraph">
                <wp:posOffset>185696</wp:posOffset>
              </wp:positionV>
              <wp:extent cx="2359660" cy="1052195"/>
              <wp:effectExtent l="0" t="0" r="0" b="0"/>
              <wp:wrapNone/>
              <wp:docPr id="1389182216" name="Text Box 6"/>
              <wp:cNvGraphicFramePr/>
              <a:graphic xmlns:a="http://schemas.openxmlformats.org/drawingml/2006/main">
                <a:graphicData uri="http://schemas.microsoft.com/office/word/2010/wordprocessingShape">
                  <wps:wsp>
                    <wps:cNvSpPr txBox="1"/>
                    <wps:spPr>
                      <a:xfrm>
                        <a:off x="0" y="0"/>
                        <a:ext cx="2359660" cy="1052195"/>
                      </a:xfrm>
                      <a:prstGeom prst="rect">
                        <a:avLst/>
                      </a:prstGeom>
                      <a:noFill/>
                      <a:ln w="6350">
                        <a:noFill/>
                      </a:ln>
                    </wps:spPr>
                    <wps:txbx>
                      <w:txbxContent>
                        <w:p w14:paraId="23E7E227" w14:textId="0E151B64" w:rsidR="00D8422A" w:rsidRDefault="00D8422A" w:rsidP="00D8422A">
                          <w:pPr>
                            <w:jc w:val="right"/>
                          </w:pPr>
                          <w:r w:rsidRPr="0047777F">
                            <w:rPr>
                              <w:b/>
                              <w:bCs/>
                              <w:color w:val="0E9ED9"/>
                            </w:rPr>
                            <w:t>VarStec Power Solutions</w:t>
                          </w:r>
                          <w:r w:rsidR="001C3568">
                            <w:rPr>
                              <w:b/>
                              <w:bCs/>
                              <w:color w:val="0E9ED9"/>
                            </w:rPr>
                            <w:t>, Inc.</w:t>
                          </w:r>
                          <w:r w:rsidR="00620972">
                            <w:t xml:space="preserve"> </w:t>
                          </w:r>
                          <w:r>
                            <w:br/>
                            <w:t>PO Box 942</w:t>
                          </w:r>
                          <w:r>
                            <w:br/>
                            <w:t>Saratoga Springs, NY 12866</w:t>
                          </w:r>
                          <w:r>
                            <w:br/>
                            <w:t>518.369.7589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FDDF21" id="_x0000_t202" coordsize="21600,21600" o:spt="202" path="m,l,21600r21600,l21600,xe">
              <v:stroke joinstyle="miter"/>
              <v:path gradientshapeok="t" o:connecttype="rect"/>
            </v:shapetype>
            <v:shape id="Text Box 6" o:spid="_x0000_s1029" type="#_x0000_t202" style="position:absolute;margin-left:309.6pt;margin-top:14.6pt;width:185.8pt;height:82.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" filled="f" stroked="f" strokeweight=".5pt">
              <v:textbox>
                <w:txbxContent>
                  <w:p w14:paraId="23E7E227" w14:textId="0E151B64" w:rsidR="00D8422A" w:rsidRDefault="00D8422A" w:rsidP="00D8422A">
                    <w:pPr>
                      <w:jc w:val="right"/>
                    </w:pPr>
                    <w:r w:rsidRPr="0047777F">
                      <w:rPr>
                        <w:b/>
                        <w:bCs/>
                        <w:color w:val="0E9ED9"/>
                      </w:rPr>
                      <w:t>VarStec Power Solutions</w:t>
                    </w:r>
                    <w:r w:rsidR="001C3568">
                      <w:rPr>
                        <w:b/>
                        <w:bCs/>
                        <w:color w:val="0E9ED9"/>
                      </w:rPr>
                      <w:t>, Inc.</w:t>
                    </w:r>
                    <w:r w:rsidR="00620972">
                      <w:t xml:space="preserve"> </w:t>
                    </w:r>
                    <w:r>
                      <w:br/>
                      <w:t>PO Box 942</w:t>
                    </w:r>
                    <w:r>
                      <w:br/>
                      <w:t>Saratoga Springs, NY 12866</w:t>
                    </w:r>
                    <w:r>
                      <w:br/>
                      <w:t>518.369.7589</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5820CAF" wp14:editId="51C81E87">
              <wp:simplePos x="0" y="0"/>
              <wp:positionH relativeFrom="margin">
                <wp:posOffset>-460540</wp:posOffset>
              </wp:positionH>
              <wp:positionV relativeFrom="paragraph">
                <wp:posOffset>1008987</wp:posOffset>
              </wp:positionV>
              <wp:extent cx="6694266" cy="0"/>
              <wp:effectExtent l="0" t="0" r="0" b="0"/>
              <wp:wrapNone/>
              <wp:docPr id="1834137950" name="Straight Connector 3"/>
              <wp:cNvGraphicFramePr/>
              <a:graphic xmlns:a="http://schemas.openxmlformats.org/drawingml/2006/main">
                <a:graphicData uri="http://schemas.microsoft.com/office/word/2010/wordprocessingShape">
                  <wps:wsp>
                    <wps:cNvCnPr/>
                    <wps:spPr>
                      <a:xfrm flipV="1">
                        <a:off x="0" y="0"/>
                        <a:ext cx="6694266"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AF392"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25pt,79.45pt" to="490.8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" strokecolor="#e00" strokeweight="2pt">
              <v:shadow on="t" color="black" opacity="24903f" origin=",.5" offset="0,.55556mm"/>
              <w10:wrap anchorx="margin"/>
            </v:line>
          </w:pict>
        </mc:Fallback>
      </mc:AlternateContent>
    </w:r>
    <w:r>
      <w:rPr>
        <w:noProof/>
      </w:rPr>
      <w:drawing>
        <wp:anchor distT="0" distB="0" distL="114300" distR="114300" simplePos="0" relativeHeight="251658242" behindDoc="1" locked="0" layoutInCell="1" allowOverlap="1" wp14:anchorId="589B0EEF" wp14:editId="721FCD03">
          <wp:simplePos x="0" y="0"/>
          <wp:positionH relativeFrom="column">
            <wp:posOffset>-782734</wp:posOffset>
          </wp:positionH>
          <wp:positionV relativeFrom="paragraph">
            <wp:posOffset>-140776</wp:posOffset>
          </wp:positionV>
          <wp:extent cx="2825750" cy="1014730"/>
          <wp:effectExtent l="0" t="0" r="0" b="0"/>
          <wp:wrapNone/>
          <wp:docPr id="1856893808"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25750" cy="10147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4AA3"/>
    <w:multiLevelType w:val="multilevel"/>
    <w:tmpl w:val="3C40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716B2"/>
    <w:multiLevelType w:val="multilevel"/>
    <w:tmpl w:val="BDBA011C"/>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2" w15:restartNumberingAfterBreak="0">
    <w:nsid w:val="06C60C89"/>
    <w:multiLevelType w:val="multilevel"/>
    <w:tmpl w:val="3346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C79C0"/>
    <w:multiLevelType w:val="multilevel"/>
    <w:tmpl w:val="25022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F6AA9"/>
    <w:multiLevelType w:val="multilevel"/>
    <w:tmpl w:val="2C78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06F19"/>
    <w:multiLevelType w:val="multilevel"/>
    <w:tmpl w:val="C75A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943E01"/>
    <w:multiLevelType w:val="multilevel"/>
    <w:tmpl w:val="FB66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717C6"/>
    <w:multiLevelType w:val="multilevel"/>
    <w:tmpl w:val="9C588A34"/>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8" w15:restartNumberingAfterBreak="0">
    <w:nsid w:val="164215BF"/>
    <w:multiLevelType w:val="multilevel"/>
    <w:tmpl w:val="DE9C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7C5A31"/>
    <w:multiLevelType w:val="multilevel"/>
    <w:tmpl w:val="367EFC66"/>
    <w:lvl w:ilvl="0">
      <w:start w:val="1"/>
      <w:numFmt w:val="decimal"/>
      <w:pStyle w:val="Leveltop"/>
      <w:lvlText w:val="PART %1"/>
      <w:lvlJc w:val="left"/>
      <w:pPr>
        <w:tabs>
          <w:tab w:val="num" w:pos="1620"/>
        </w:tabs>
        <w:ind w:left="1620" w:hanging="1080"/>
      </w:pPr>
      <w:rPr>
        <w:rFonts w:ascii="Arial" w:hAnsi="Arial" w:hint="default"/>
        <w:b w:val="0"/>
        <w:i w:val="0"/>
        <w:sz w:val="22"/>
      </w:rPr>
    </w:lvl>
    <w:lvl w:ilvl="1">
      <w:start w:val="1"/>
      <w:numFmt w:val="decimalZero"/>
      <w:pStyle w:val="Level1"/>
      <w:lvlText w:val="%1.%2"/>
      <w:lvlJc w:val="left"/>
      <w:pPr>
        <w:tabs>
          <w:tab w:val="num" w:pos="720"/>
        </w:tabs>
        <w:ind w:left="720" w:hanging="720"/>
      </w:pPr>
      <w:rPr>
        <w:rFonts w:hint="default"/>
      </w:rPr>
    </w:lvl>
    <w:lvl w:ilvl="2">
      <w:start w:val="1"/>
      <w:numFmt w:val="upperLetter"/>
      <w:pStyle w:val="Level2"/>
      <w:lvlText w:val="%3."/>
      <w:lvlJc w:val="left"/>
      <w:pPr>
        <w:tabs>
          <w:tab w:val="num" w:pos="1080"/>
        </w:tabs>
        <w:ind w:left="1080" w:hanging="360"/>
      </w:pPr>
      <w:rPr>
        <w:rFonts w:hint="default"/>
      </w:rPr>
    </w:lvl>
    <w:lvl w:ilvl="3">
      <w:start w:val="1"/>
      <w:numFmt w:val="decimal"/>
      <w:pStyle w:val="Level3"/>
      <w:lvlText w:val="%4."/>
      <w:lvlJc w:val="right"/>
      <w:pPr>
        <w:tabs>
          <w:tab w:val="num" w:pos="1440"/>
        </w:tabs>
        <w:ind w:left="1440" w:hanging="144"/>
      </w:pPr>
      <w:rPr>
        <w:rFonts w:hint="default"/>
      </w:rPr>
    </w:lvl>
    <w:lvl w:ilvl="4">
      <w:start w:val="1"/>
      <w:numFmt w:val="lowerLetter"/>
      <w:pStyle w:val="Level4"/>
      <w:lvlText w:val="%5."/>
      <w:lvlJc w:val="left"/>
      <w:pPr>
        <w:tabs>
          <w:tab w:val="num" w:pos="1800"/>
        </w:tabs>
        <w:ind w:left="1800" w:hanging="36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5"/>
      <w:lvlText w:val="%6."/>
      <w:lvlJc w:val="right"/>
      <w:pPr>
        <w:tabs>
          <w:tab w:val="num" w:pos="2160"/>
        </w:tabs>
        <w:ind w:left="2160" w:hanging="144"/>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3240"/>
        </w:tabs>
        <w:ind w:left="2880" w:hanging="360"/>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8E23B31"/>
    <w:multiLevelType w:val="multilevel"/>
    <w:tmpl w:val="0E96F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463E83"/>
    <w:multiLevelType w:val="multilevel"/>
    <w:tmpl w:val="D09E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8073F5"/>
    <w:multiLevelType w:val="multilevel"/>
    <w:tmpl w:val="BAE6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F75288"/>
    <w:multiLevelType w:val="multilevel"/>
    <w:tmpl w:val="C3BC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CA6DFD"/>
    <w:multiLevelType w:val="multilevel"/>
    <w:tmpl w:val="9418D2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22257F"/>
    <w:multiLevelType w:val="multilevel"/>
    <w:tmpl w:val="84FC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D55AC4"/>
    <w:multiLevelType w:val="multilevel"/>
    <w:tmpl w:val="B0DC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AB5B38"/>
    <w:multiLevelType w:val="multilevel"/>
    <w:tmpl w:val="5404B444"/>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18" w15:restartNumberingAfterBreak="0">
    <w:nsid w:val="2FBD299C"/>
    <w:multiLevelType w:val="multilevel"/>
    <w:tmpl w:val="F0B0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D400C3"/>
    <w:multiLevelType w:val="multilevel"/>
    <w:tmpl w:val="CA7A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F3234D"/>
    <w:multiLevelType w:val="multilevel"/>
    <w:tmpl w:val="F598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7F177A"/>
    <w:multiLevelType w:val="multilevel"/>
    <w:tmpl w:val="C9BE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15155E"/>
    <w:multiLevelType w:val="multilevel"/>
    <w:tmpl w:val="C610D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F46589"/>
    <w:multiLevelType w:val="multilevel"/>
    <w:tmpl w:val="F828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6F41A0"/>
    <w:multiLevelType w:val="multilevel"/>
    <w:tmpl w:val="CC32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564EFE"/>
    <w:multiLevelType w:val="multilevel"/>
    <w:tmpl w:val="470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A34F34"/>
    <w:multiLevelType w:val="multilevel"/>
    <w:tmpl w:val="A744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311463"/>
    <w:multiLevelType w:val="multilevel"/>
    <w:tmpl w:val="8E76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5E0216"/>
    <w:multiLevelType w:val="multilevel"/>
    <w:tmpl w:val="7138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997299"/>
    <w:multiLevelType w:val="multilevel"/>
    <w:tmpl w:val="5A3C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DB3670"/>
    <w:multiLevelType w:val="multilevel"/>
    <w:tmpl w:val="57C0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480041"/>
    <w:multiLevelType w:val="multilevel"/>
    <w:tmpl w:val="E882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6A3497"/>
    <w:multiLevelType w:val="multilevel"/>
    <w:tmpl w:val="A9CC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8A7903"/>
    <w:multiLevelType w:val="hybridMultilevel"/>
    <w:tmpl w:val="7436B326"/>
    <w:lvl w:ilvl="0" w:tplc="440265D4">
      <w:start w:val="1"/>
      <w:numFmt w:val="bullet"/>
      <w:pStyle w:val="11Head-Bullet"/>
      <w:lvlText w:val=""/>
      <w:lvlJc w:val="left"/>
      <w:pPr>
        <w:ind w:left="450" w:hanging="360"/>
      </w:pPr>
      <w:rPr>
        <w:rFonts w:ascii="Symbol" w:hAnsi="Symbol" w:cs="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50E768C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52913E1E"/>
    <w:multiLevelType w:val="multilevel"/>
    <w:tmpl w:val="6E16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427DED"/>
    <w:multiLevelType w:val="multilevel"/>
    <w:tmpl w:val="9608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2E2693"/>
    <w:multiLevelType w:val="multilevel"/>
    <w:tmpl w:val="2B2EE50A"/>
    <w:lvl w:ilvl="0">
      <w:start w:val="1"/>
      <w:numFmt w:val="decimal"/>
      <w:pStyle w:val="Heading1"/>
      <w:lvlText w:val="%1"/>
      <w:lvlJc w:val="left"/>
      <w:pPr>
        <w:tabs>
          <w:tab w:val="num" w:pos="432"/>
        </w:tabs>
        <w:ind w:left="432" w:hanging="432"/>
      </w:pPr>
      <w:rPr>
        <w:color w:val="121212"/>
      </w:rPr>
    </w:lvl>
    <w:lvl w:ilvl="1">
      <w:start w:val="1"/>
      <w:numFmt w:val="decimal"/>
      <w:pStyle w:val="Heading2"/>
      <w:lvlText w:val="%1.%2"/>
      <w:lvlJc w:val="left"/>
      <w:pPr>
        <w:tabs>
          <w:tab w:val="num" w:pos="1476"/>
        </w:tabs>
        <w:ind w:left="1476" w:hanging="576"/>
      </w:pPr>
      <w:rPr>
        <w:b w:val="0"/>
        <w:bCs/>
        <w:color w:val="auto"/>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8" w15:restartNumberingAfterBreak="0">
    <w:nsid w:val="58934945"/>
    <w:multiLevelType w:val="hybridMultilevel"/>
    <w:tmpl w:val="404C1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DD34F0"/>
    <w:multiLevelType w:val="multilevel"/>
    <w:tmpl w:val="381CE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6518F7"/>
    <w:multiLevelType w:val="multilevel"/>
    <w:tmpl w:val="CD8A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4B1442"/>
    <w:multiLevelType w:val="multilevel"/>
    <w:tmpl w:val="CB5C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B65118"/>
    <w:multiLevelType w:val="multilevel"/>
    <w:tmpl w:val="8760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C07983"/>
    <w:multiLevelType w:val="multilevel"/>
    <w:tmpl w:val="EAB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763040"/>
    <w:multiLevelType w:val="multilevel"/>
    <w:tmpl w:val="6CB4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D803F5"/>
    <w:multiLevelType w:val="multilevel"/>
    <w:tmpl w:val="E496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2B3056"/>
    <w:multiLevelType w:val="multilevel"/>
    <w:tmpl w:val="1424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882B6F"/>
    <w:multiLevelType w:val="multilevel"/>
    <w:tmpl w:val="F602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324BAF"/>
    <w:multiLevelType w:val="multilevel"/>
    <w:tmpl w:val="782A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542392">
    <w:abstractNumId w:val="37"/>
  </w:num>
  <w:num w:numId="2" w16cid:durableId="1705984210">
    <w:abstractNumId w:val="34"/>
  </w:num>
  <w:num w:numId="3" w16cid:durableId="189268165">
    <w:abstractNumId w:val="9"/>
  </w:num>
  <w:num w:numId="4" w16cid:durableId="1162508475">
    <w:abstractNumId w:val="7"/>
  </w:num>
  <w:num w:numId="5" w16cid:durableId="117795539">
    <w:abstractNumId w:val="17"/>
  </w:num>
  <w:num w:numId="6" w16cid:durableId="2115243984">
    <w:abstractNumId w:val="33"/>
  </w:num>
  <w:num w:numId="7" w16cid:durableId="1999380697">
    <w:abstractNumId w:val="1"/>
  </w:num>
  <w:num w:numId="8" w16cid:durableId="439302941">
    <w:abstractNumId w:val="11"/>
  </w:num>
  <w:num w:numId="9" w16cid:durableId="1476919309">
    <w:abstractNumId w:val="0"/>
  </w:num>
  <w:num w:numId="10" w16cid:durableId="430400256">
    <w:abstractNumId w:val="14"/>
  </w:num>
  <w:num w:numId="11" w16cid:durableId="1410689733">
    <w:abstractNumId w:val="26"/>
  </w:num>
  <w:num w:numId="12" w16cid:durableId="929196593">
    <w:abstractNumId w:val="6"/>
  </w:num>
  <w:num w:numId="13" w16cid:durableId="649791325">
    <w:abstractNumId w:val="39"/>
  </w:num>
  <w:num w:numId="14" w16cid:durableId="1083649919">
    <w:abstractNumId w:val="38"/>
  </w:num>
  <w:num w:numId="15" w16cid:durableId="2127042304">
    <w:abstractNumId w:val="45"/>
  </w:num>
  <w:num w:numId="16" w16cid:durableId="1360273520">
    <w:abstractNumId w:val="12"/>
  </w:num>
  <w:num w:numId="17" w16cid:durableId="125516291">
    <w:abstractNumId w:val="16"/>
  </w:num>
  <w:num w:numId="18" w16cid:durableId="2011173261">
    <w:abstractNumId w:val="32"/>
  </w:num>
  <w:num w:numId="19" w16cid:durableId="468548701">
    <w:abstractNumId w:val="36"/>
  </w:num>
  <w:num w:numId="20" w16cid:durableId="118645854">
    <w:abstractNumId w:val="29"/>
  </w:num>
  <w:num w:numId="21" w16cid:durableId="478227613">
    <w:abstractNumId w:val="24"/>
  </w:num>
  <w:num w:numId="22" w16cid:durableId="632830330">
    <w:abstractNumId w:val="31"/>
  </w:num>
  <w:num w:numId="23" w16cid:durableId="154493118">
    <w:abstractNumId w:val="20"/>
  </w:num>
  <w:num w:numId="24" w16cid:durableId="212936490">
    <w:abstractNumId w:val="8"/>
  </w:num>
  <w:num w:numId="25" w16cid:durableId="402029991">
    <w:abstractNumId w:val="13"/>
  </w:num>
  <w:num w:numId="26" w16cid:durableId="763259006">
    <w:abstractNumId w:val="27"/>
  </w:num>
  <w:num w:numId="27" w16cid:durableId="9842299">
    <w:abstractNumId w:val="2"/>
  </w:num>
  <w:num w:numId="28" w16cid:durableId="546143097">
    <w:abstractNumId w:val="44"/>
  </w:num>
  <w:num w:numId="29" w16cid:durableId="1930042883">
    <w:abstractNumId w:val="43"/>
  </w:num>
  <w:num w:numId="30" w16cid:durableId="149057043">
    <w:abstractNumId w:val="3"/>
  </w:num>
  <w:num w:numId="31" w16cid:durableId="1195384561">
    <w:abstractNumId w:val="4"/>
  </w:num>
  <w:num w:numId="32" w16cid:durableId="118498323">
    <w:abstractNumId w:val="46"/>
  </w:num>
  <w:num w:numId="33" w16cid:durableId="993223427">
    <w:abstractNumId w:val="19"/>
  </w:num>
  <w:num w:numId="34" w16cid:durableId="142041823">
    <w:abstractNumId w:val="23"/>
  </w:num>
  <w:num w:numId="35" w16cid:durableId="339894905">
    <w:abstractNumId w:val="35"/>
  </w:num>
  <w:num w:numId="36" w16cid:durableId="1380738100">
    <w:abstractNumId w:val="10"/>
  </w:num>
  <w:num w:numId="37" w16cid:durableId="428088479">
    <w:abstractNumId w:val="42"/>
  </w:num>
  <w:num w:numId="38" w16cid:durableId="2086879255">
    <w:abstractNumId w:val="18"/>
  </w:num>
  <w:num w:numId="39" w16cid:durableId="2120180904">
    <w:abstractNumId w:val="40"/>
  </w:num>
  <w:num w:numId="40" w16cid:durableId="1927496005">
    <w:abstractNumId w:val="22"/>
  </w:num>
  <w:num w:numId="41" w16cid:durableId="1326084835">
    <w:abstractNumId w:val="25"/>
  </w:num>
  <w:num w:numId="42" w16cid:durableId="146897620">
    <w:abstractNumId w:val="21"/>
  </w:num>
  <w:num w:numId="43" w16cid:durableId="878317376">
    <w:abstractNumId w:val="41"/>
  </w:num>
  <w:num w:numId="44" w16cid:durableId="279650046">
    <w:abstractNumId w:val="28"/>
  </w:num>
  <w:num w:numId="45" w16cid:durableId="431977758">
    <w:abstractNumId w:val="15"/>
  </w:num>
  <w:num w:numId="46" w16cid:durableId="519858986">
    <w:abstractNumId w:val="30"/>
  </w:num>
  <w:num w:numId="47" w16cid:durableId="294062918">
    <w:abstractNumId w:val="47"/>
  </w:num>
  <w:num w:numId="48" w16cid:durableId="1653412697">
    <w:abstractNumId w:val="48"/>
  </w:num>
  <w:num w:numId="49" w16cid:durableId="171084117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C3MDUxsTCzsDA3M7RU0lEKTi0uzszPAykwqgUAqCfHbywAAAA="/>
  </w:docVars>
  <w:rsids>
    <w:rsidRoot w:val="00D8422A"/>
    <w:rsid w:val="0000242B"/>
    <w:rsid w:val="00002591"/>
    <w:rsid w:val="00005E07"/>
    <w:rsid w:val="000071F5"/>
    <w:rsid w:val="00011D8C"/>
    <w:rsid w:val="00012451"/>
    <w:rsid w:val="00013141"/>
    <w:rsid w:val="000135E7"/>
    <w:rsid w:val="000207D0"/>
    <w:rsid w:val="00020800"/>
    <w:rsid w:val="00031D50"/>
    <w:rsid w:val="00036EB9"/>
    <w:rsid w:val="000377FE"/>
    <w:rsid w:val="00040D1E"/>
    <w:rsid w:val="000456E8"/>
    <w:rsid w:val="0004623E"/>
    <w:rsid w:val="0004740B"/>
    <w:rsid w:val="00055CCE"/>
    <w:rsid w:val="000721EE"/>
    <w:rsid w:val="00073C37"/>
    <w:rsid w:val="00077538"/>
    <w:rsid w:val="00080057"/>
    <w:rsid w:val="00082E03"/>
    <w:rsid w:val="00085444"/>
    <w:rsid w:val="00087922"/>
    <w:rsid w:val="00087CD7"/>
    <w:rsid w:val="00093232"/>
    <w:rsid w:val="000A57EF"/>
    <w:rsid w:val="000A618C"/>
    <w:rsid w:val="000A6943"/>
    <w:rsid w:val="000A7DB6"/>
    <w:rsid w:val="000B759B"/>
    <w:rsid w:val="000C2D6C"/>
    <w:rsid w:val="000C7333"/>
    <w:rsid w:val="000D0839"/>
    <w:rsid w:val="000E3130"/>
    <w:rsid w:val="000F36A3"/>
    <w:rsid w:val="0010124A"/>
    <w:rsid w:val="0010165F"/>
    <w:rsid w:val="001044CF"/>
    <w:rsid w:val="00111206"/>
    <w:rsid w:val="001128E8"/>
    <w:rsid w:val="00124995"/>
    <w:rsid w:val="00124B6A"/>
    <w:rsid w:val="0012742D"/>
    <w:rsid w:val="001374F5"/>
    <w:rsid w:val="001431B6"/>
    <w:rsid w:val="0015310B"/>
    <w:rsid w:val="001629D7"/>
    <w:rsid w:val="00162FBE"/>
    <w:rsid w:val="00170F66"/>
    <w:rsid w:val="00171C26"/>
    <w:rsid w:val="001753B4"/>
    <w:rsid w:val="00180C55"/>
    <w:rsid w:val="0018356D"/>
    <w:rsid w:val="0018446B"/>
    <w:rsid w:val="00193D99"/>
    <w:rsid w:val="001A40C7"/>
    <w:rsid w:val="001C32E8"/>
    <w:rsid w:val="001C3377"/>
    <w:rsid w:val="001C3568"/>
    <w:rsid w:val="001C6011"/>
    <w:rsid w:val="001C6132"/>
    <w:rsid w:val="001D7995"/>
    <w:rsid w:val="001E1546"/>
    <w:rsid w:val="001E59E8"/>
    <w:rsid w:val="001F666E"/>
    <w:rsid w:val="00214CF8"/>
    <w:rsid w:val="002156F5"/>
    <w:rsid w:val="0022431E"/>
    <w:rsid w:val="00233904"/>
    <w:rsid w:val="0024096B"/>
    <w:rsid w:val="002478A7"/>
    <w:rsid w:val="00254D75"/>
    <w:rsid w:val="002561B6"/>
    <w:rsid w:val="00265A6A"/>
    <w:rsid w:val="00266F08"/>
    <w:rsid w:val="002755B2"/>
    <w:rsid w:val="00275FE8"/>
    <w:rsid w:val="002809A4"/>
    <w:rsid w:val="0028335E"/>
    <w:rsid w:val="00287E24"/>
    <w:rsid w:val="00296D8F"/>
    <w:rsid w:val="00296F2B"/>
    <w:rsid w:val="002B1EED"/>
    <w:rsid w:val="002C1F8A"/>
    <w:rsid w:val="002C4AA0"/>
    <w:rsid w:val="002C7ABE"/>
    <w:rsid w:val="002D176D"/>
    <w:rsid w:val="002D30D8"/>
    <w:rsid w:val="002E039F"/>
    <w:rsid w:val="002E056D"/>
    <w:rsid w:val="002E0ED2"/>
    <w:rsid w:val="002F59E2"/>
    <w:rsid w:val="003002B3"/>
    <w:rsid w:val="00306CE9"/>
    <w:rsid w:val="00313BC3"/>
    <w:rsid w:val="0032425B"/>
    <w:rsid w:val="003320C9"/>
    <w:rsid w:val="003323ED"/>
    <w:rsid w:val="0033606A"/>
    <w:rsid w:val="00336A18"/>
    <w:rsid w:val="003419B8"/>
    <w:rsid w:val="00341E2F"/>
    <w:rsid w:val="00342089"/>
    <w:rsid w:val="00351061"/>
    <w:rsid w:val="00355B29"/>
    <w:rsid w:val="00356A09"/>
    <w:rsid w:val="00357262"/>
    <w:rsid w:val="0035793B"/>
    <w:rsid w:val="003628BD"/>
    <w:rsid w:val="00365DAA"/>
    <w:rsid w:val="00371E15"/>
    <w:rsid w:val="00377C56"/>
    <w:rsid w:val="00377FD8"/>
    <w:rsid w:val="0038790E"/>
    <w:rsid w:val="00390E05"/>
    <w:rsid w:val="00391CF5"/>
    <w:rsid w:val="00395420"/>
    <w:rsid w:val="003A0B88"/>
    <w:rsid w:val="003B48CC"/>
    <w:rsid w:val="003B493E"/>
    <w:rsid w:val="003B5144"/>
    <w:rsid w:val="003B6DD0"/>
    <w:rsid w:val="003C599D"/>
    <w:rsid w:val="003D2531"/>
    <w:rsid w:val="003E710B"/>
    <w:rsid w:val="003F0AED"/>
    <w:rsid w:val="00403668"/>
    <w:rsid w:val="00411C92"/>
    <w:rsid w:val="0041495E"/>
    <w:rsid w:val="00420811"/>
    <w:rsid w:val="0042140A"/>
    <w:rsid w:val="00425723"/>
    <w:rsid w:val="00427312"/>
    <w:rsid w:val="00433401"/>
    <w:rsid w:val="00435880"/>
    <w:rsid w:val="00437989"/>
    <w:rsid w:val="00441C46"/>
    <w:rsid w:val="00444DBB"/>
    <w:rsid w:val="00445825"/>
    <w:rsid w:val="00450635"/>
    <w:rsid w:val="00453838"/>
    <w:rsid w:val="004543D8"/>
    <w:rsid w:val="00455594"/>
    <w:rsid w:val="00476E4E"/>
    <w:rsid w:val="00486F7A"/>
    <w:rsid w:val="004875B9"/>
    <w:rsid w:val="0049224A"/>
    <w:rsid w:val="0049552B"/>
    <w:rsid w:val="004A3EFF"/>
    <w:rsid w:val="004A407A"/>
    <w:rsid w:val="004B730F"/>
    <w:rsid w:val="004C75EB"/>
    <w:rsid w:val="004F3A78"/>
    <w:rsid w:val="00501C9D"/>
    <w:rsid w:val="00505BB8"/>
    <w:rsid w:val="005176EB"/>
    <w:rsid w:val="00520897"/>
    <w:rsid w:val="0052099C"/>
    <w:rsid w:val="00535F5E"/>
    <w:rsid w:val="00536D18"/>
    <w:rsid w:val="005448D3"/>
    <w:rsid w:val="00546096"/>
    <w:rsid w:val="005552CF"/>
    <w:rsid w:val="00567BF9"/>
    <w:rsid w:val="0057369C"/>
    <w:rsid w:val="00574685"/>
    <w:rsid w:val="00576F81"/>
    <w:rsid w:val="005770A4"/>
    <w:rsid w:val="005804FE"/>
    <w:rsid w:val="00586F84"/>
    <w:rsid w:val="00587E1C"/>
    <w:rsid w:val="00591356"/>
    <w:rsid w:val="005923EE"/>
    <w:rsid w:val="00592B32"/>
    <w:rsid w:val="005A2072"/>
    <w:rsid w:val="005B13FB"/>
    <w:rsid w:val="005B4F6A"/>
    <w:rsid w:val="005C3A02"/>
    <w:rsid w:val="005C6D5F"/>
    <w:rsid w:val="005C71EA"/>
    <w:rsid w:val="005C7300"/>
    <w:rsid w:val="005D221A"/>
    <w:rsid w:val="005D598E"/>
    <w:rsid w:val="005D5B2F"/>
    <w:rsid w:val="005D5BC2"/>
    <w:rsid w:val="005D7D08"/>
    <w:rsid w:val="005F619C"/>
    <w:rsid w:val="00600F6A"/>
    <w:rsid w:val="00601B1D"/>
    <w:rsid w:val="0061400A"/>
    <w:rsid w:val="00617F4C"/>
    <w:rsid w:val="00620972"/>
    <w:rsid w:val="00620E67"/>
    <w:rsid w:val="00630F75"/>
    <w:rsid w:val="00631C0D"/>
    <w:rsid w:val="00635776"/>
    <w:rsid w:val="00643D17"/>
    <w:rsid w:val="006449E9"/>
    <w:rsid w:val="0064666E"/>
    <w:rsid w:val="00647ACB"/>
    <w:rsid w:val="00651275"/>
    <w:rsid w:val="006562FE"/>
    <w:rsid w:val="00661235"/>
    <w:rsid w:val="006642F6"/>
    <w:rsid w:val="00665477"/>
    <w:rsid w:val="00667DF9"/>
    <w:rsid w:val="00667E6F"/>
    <w:rsid w:val="00671444"/>
    <w:rsid w:val="006730C8"/>
    <w:rsid w:val="006765D9"/>
    <w:rsid w:val="00680485"/>
    <w:rsid w:val="00683E3B"/>
    <w:rsid w:val="006842FB"/>
    <w:rsid w:val="00684927"/>
    <w:rsid w:val="00692145"/>
    <w:rsid w:val="006A4420"/>
    <w:rsid w:val="006B06E4"/>
    <w:rsid w:val="006B7D74"/>
    <w:rsid w:val="006C3C24"/>
    <w:rsid w:val="006C58FB"/>
    <w:rsid w:val="006D47D4"/>
    <w:rsid w:val="006D4C89"/>
    <w:rsid w:val="006D551E"/>
    <w:rsid w:val="006E0F36"/>
    <w:rsid w:val="006E40EB"/>
    <w:rsid w:val="006E5DC4"/>
    <w:rsid w:val="006E76F1"/>
    <w:rsid w:val="006E7CCA"/>
    <w:rsid w:val="006F2EEC"/>
    <w:rsid w:val="006F4374"/>
    <w:rsid w:val="00701FB6"/>
    <w:rsid w:val="00705340"/>
    <w:rsid w:val="0070757B"/>
    <w:rsid w:val="007121AA"/>
    <w:rsid w:val="00714725"/>
    <w:rsid w:val="007171A8"/>
    <w:rsid w:val="007177F5"/>
    <w:rsid w:val="00721977"/>
    <w:rsid w:val="007231A9"/>
    <w:rsid w:val="0072668F"/>
    <w:rsid w:val="00730E55"/>
    <w:rsid w:val="0074111E"/>
    <w:rsid w:val="0074237E"/>
    <w:rsid w:val="00751398"/>
    <w:rsid w:val="00760B48"/>
    <w:rsid w:val="007623E3"/>
    <w:rsid w:val="00767FAE"/>
    <w:rsid w:val="007704E7"/>
    <w:rsid w:val="00773042"/>
    <w:rsid w:val="00774464"/>
    <w:rsid w:val="00776DB8"/>
    <w:rsid w:val="00777525"/>
    <w:rsid w:val="007832F1"/>
    <w:rsid w:val="00783687"/>
    <w:rsid w:val="0078468A"/>
    <w:rsid w:val="00784696"/>
    <w:rsid w:val="007917AE"/>
    <w:rsid w:val="007A0AFF"/>
    <w:rsid w:val="007A5369"/>
    <w:rsid w:val="007A7325"/>
    <w:rsid w:val="007B0F20"/>
    <w:rsid w:val="007B3C88"/>
    <w:rsid w:val="007B772C"/>
    <w:rsid w:val="007C7D52"/>
    <w:rsid w:val="007D2C95"/>
    <w:rsid w:val="007D45C1"/>
    <w:rsid w:val="007D53A7"/>
    <w:rsid w:val="007E67D6"/>
    <w:rsid w:val="007E6A49"/>
    <w:rsid w:val="007F3DD2"/>
    <w:rsid w:val="007F509E"/>
    <w:rsid w:val="007F52A5"/>
    <w:rsid w:val="007F5DA2"/>
    <w:rsid w:val="00801BCB"/>
    <w:rsid w:val="00802268"/>
    <w:rsid w:val="008031A3"/>
    <w:rsid w:val="00805077"/>
    <w:rsid w:val="00815BAF"/>
    <w:rsid w:val="00815BFC"/>
    <w:rsid w:val="00820BE3"/>
    <w:rsid w:val="008252EC"/>
    <w:rsid w:val="00833635"/>
    <w:rsid w:val="00833BF4"/>
    <w:rsid w:val="00843ACF"/>
    <w:rsid w:val="008461C5"/>
    <w:rsid w:val="00854618"/>
    <w:rsid w:val="00856A34"/>
    <w:rsid w:val="00863ECC"/>
    <w:rsid w:val="008649A3"/>
    <w:rsid w:val="00866A41"/>
    <w:rsid w:val="00866AA6"/>
    <w:rsid w:val="008722B0"/>
    <w:rsid w:val="00872DEB"/>
    <w:rsid w:val="00876FA4"/>
    <w:rsid w:val="00896728"/>
    <w:rsid w:val="008A16E7"/>
    <w:rsid w:val="008A201C"/>
    <w:rsid w:val="008A4183"/>
    <w:rsid w:val="008A4CBD"/>
    <w:rsid w:val="008A7179"/>
    <w:rsid w:val="008B0B97"/>
    <w:rsid w:val="008B0DD0"/>
    <w:rsid w:val="008C0B21"/>
    <w:rsid w:val="008C1A9B"/>
    <w:rsid w:val="008C5366"/>
    <w:rsid w:val="008C5597"/>
    <w:rsid w:val="008C5849"/>
    <w:rsid w:val="008C63A9"/>
    <w:rsid w:val="008D17D9"/>
    <w:rsid w:val="008D4334"/>
    <w:rsid w:val="008E5CEE"/>
    <w:rsid w:val="008E783E"/>
    <w:rsid w:val="008F2A5F"/>
    <w:rsid w:val="008F4F0C"/>
    <w:rsid w:val="008F7CBE"/>
    <w:rsid w:val="00901A56"/>
    <w:rsid w:val="00901FA6"/>
    <w:rsid w:val="009125B1"/>
    <w:rsid w:val="009218EE"/>
    <w:rsid w:val="00922FBC"/>
    <w:rsid w:val="00923846"/>
    <w:rsid w:val="00927268"/>
    <w:rsid w:val="00927D66"/>
    <w:rsid w:val="00941FA7"/>
    <w:rsid w:val="009423B6"/>
    <w:rsid w:val="0094276B"/>
    <w:rsid w:val="0094677E"/>
    <w:rsid w:val="00950EC2"/>
    <w:rsid w:val="00955B28"/>
    <w:rsid w:val="00964BDF"/>
    <w:rsid w:val="00971CF1"/>
    <w:rsid w:val="00973996"/>
    <w:rsid w:val="00975B32"/>
    <w:rsid w:val="009859A4"/>
    <w:rsid w:val="009875AF"/>
    <w:rsid w:val="0099539C"/>
    <w:rsid w:val="009A0FF1"/>
    <w:rsid w:val="009A1E4B"/>
    <w:rsid w:val="009B67D2"/>
    <w:rsid w:val="009C3592"/>
    <w:rsid w:val="009C4618"/>
    <w:rsid w:val="009D3861"/>
    <w:rsid w:val="009D3E87"/>
    <w:rsid w:val="009D4DA6"/>
    <w:rsid w:val="009D5E63"/>
    <w:rsid w:val="009E080A"/>
    <w:rsid w:val="009E38B2"/>
    <w:rsid w:val="009F291E"/>
    <w:rsid w:val="009F496E"/>
    <w:rsid w:val="009F51F6"/>
    <w:rsid w:val="009F6EA7"/>
    <w:rsid w:val="009F7D37"/>
    <w:rsid w:val="00A073EE"/>
    <w:rsid w:val="00A11A26"/>
    <w:rsid w:val="00A1283C"/>
    <w:rsid w:val="00A16E17"/>
    <w:rsid w:val="00A214B6"/>
    <w:rsid w:val="00A26DC4"/>
    <w:rsid w:val="00A333DA"/>
    <w:rsid w:val="00A3347A"/>
    <w:rsid w:val="00A372C7"/>
    <w:rsid w:val="00A4232B"/>
    <w:rsid w:val="00A4569E"/>
    <w:rsid w:val="00A46519"/>
    <w:rsid w:val="00A46C44"/>
    <w:rsid w:val="00A4770D"/>
    <w:rsid w:val="00A52564"/>
    <w:rsid w:val="00A52C0E"/>
    <w:rsid w:val="00A55061"/>
    <w:rsid w:val="00A61F69"/>
    <w:rsid w:val="00A6302B"/>
    <w:rsid w:val="00A72372"/>
    <w:rsid w:val="00A7482E"/>
    <w:rsid w:val="00A77E2F"/>
    <w:rsid w:val="00A83393"/>
    <w:rsid w:val="00A925F8"/>
    <w:rsid w:val="00A92988"/>
    <w:rsid w:val="00A93936"/>
    <w:rsid w:val="00A93C5C"/>
    <w:rsid w:val="00AA32C2"/>
    <w:rsid w:val="00AA4DE3"/>
    <w:rsid w:val="00AA6C11"/>
    <w:rsid w:val="00AA7189"/>
    <w:rsid w:val="00AB154B"/>
    <w:rsid w:val="00AB604D"/>
    <w:rsid w:val="00AB6F18"/>
    <w:rsid w:val="00AC30B1"/>
    <w:rsid w:val="00AD0653"/>
    <w:rsid w:val="00AD40D4"/>
    <w:rsid w:val="00AD5BFF"/>
    <w:rsid w:val="00AE7493"/>
    <w:rsid w:val="00AF0C78"/>
    <w:rsid w:val="00AF26DC"/>
    <w:rsid w:val="00AF3AD9"/>
    <w:rsid w:val="00AF5EBE"/>
    <w:rsid w:val="00AF79DF"/>
    <w:rsid w:val="00B00DE4"/>
    <w:rsid w:val="00B03E8B"/>
    <w:rsid w:val="00B1654E"/>
    <w:rsid w:val="00B16F28"/>
    <w:rsid w:val="00B16FAD"/>
    <w:rsid w:val="00B26974"/>
    <w:rsid w:val="00B30A3E"/>
    <w:rsid w:val="00B40492"/>
    <w:rsid w:val="00B53E63"/>
    <w:rsid w:val="00B5664D"/>
    <w:rsid w:val="00B56D6A"/>
    <w:rsid w:val="00B56EAD"/>
    <w:rsid w:val="00B57BDA"/>
    <w:rsid w:val="00B632C2"/>
    <w:rsid w:val="00B63710"/>
    <w:rsid w:val="00B703CB"/>
    <w:rsid w:val="00B721DB"/>
    <w:rsid w:val="00B759DD"/>
    <w:rsid w:val="00B77D10"/>
    <w:rsid w:val="00B84767"/>
    <w:rsid w:val="00B93BF5"/>
    <w:rsid w:val="00B9421F"/>
    <w:rsid w:val="00BA6340"/>
    <w:rsid w:val="00BB09E4"/>
    <w:rsid w:val="00BC372B"/>
    <w:rsid w:val="00BC61F2"/>
    <w:rsid w:val="00BD588C"/>
    <w:rsid w:val="00BF12F6"/>
    <w:rsid w:val="00BF5425"/>
    <w:rsid w:val="00BF742F"/>
    <w:rsid w:val="00C01E6B"/>
    <w:rsid w:val="00C039AC"/>
    <w:rsid w:val="00C16E03"/>
    <w:rsid w:val="00C21C88"/>
    <w:rsid w:val="00C27D10"/>
    <w:rsid w:val="00C33725"/>
    <w:rsid w:val="00C34080"/>
    <w:rsid w:val="00C36397"/>
    <w:rsid w:val="00C374AB"/>
    <w:rsid w:val="00C43763"/>
    <w:rsid w:val="00C47168"/>
    <w:rsid w:val="00C47C62"/>
    <w:rsid w:val="00C539BD"/>
    <w:rsid w:val="00C53C36"/>
    <w:rsid w:val="00C55B65"/>
    <w:rsid w:val="00C568E1"/>
    <w:rsid w:val="00C609BA"/>
    <w:rsid w:val="00C81C58"/>
    <w:rsid w:val="00C8580E"/>
    <w:rsid w:val="00C97DBF"/>
    <w:rsid w:val="00CA3A50"/>
    <w:rsid w:val="00CB2001"/>
    <w:rsid w:val="00CB28E8"/>
    <w:rsid w:val="00CB3C77"/>
    <w:rsid w:val="00CB3F50"/>
    <w:rsid w:val="00CB45F7"/>
    <w:rsid w:val="00CB4A55"/>
    <w:rsid w:val="00CB52A0"/>
    <w:rsid w:val="00CC1B08"/>
    <w:rsid w:val="00CC5ED2"/>
    <w:rsid w:val="00CC68E1"/>
    <w:rsid w:val="00CD5AA8"/>
    <w:rsid w:val="00CE00E3"/>
    <w:rsid w:val="00CE7509"/>
    <w:rsid w:val="00CF1604"/>
    <w:rsid w:val="00CF1AF5"/>
    <w:rsid w:val="00CF2439"/>
    <w:rsid w:val="00CF36E4"/>
    <w:rsid w:val="00CF5C1E"/>
    <w:rsid w:val="00D05CD9"/>
    <w:rsid w:val="00D1615B"/>
    <w:rsid w:val="00D176D9"/>
    <w:rsid w:val="00D20CEE"/>
    <w:rsid w:val="00D26F05"/>
    <w:rsid w:val="00D304CB"/>
    <w:rsid w:val="00D34213"/>
    <w:rsid w:val="00D35331"/>
    <w:rsid w:val="00D35EDD"/>
    <w:rsid w:val="00D4051D"/>
    <w:rsid w:val="00D41DBB"/>
    <w:rsid w:val="00D43B1D"/>
    <w:rsid w:val="00D50270"/>
    <w:rsid w:val="00D53D26"/>
    <w:rsid w:val="00D60172"/>
    <w:rsid w:val="00D6069A"/>
    <w:rsid w:val="00D63848"/>
    <w:rsid w:val="00D64256"/>
    <w:rsid w:val="00D7149F"/>
    <w:rsid w:val="00D71FE2"/>
    <w:rsid w:val="00D72165"/>
    <w:rsid w:val="00D76ACB"/>
    <w:rsid w:val="00D8422A"/>
    <w:rsid w:val="00D92B4F"/>
    <w:rsid w:val="00D95725"/>
    <w:rsid w:val="00D95C07"/>
    <w:rsid w:val="00DA63F4"/>
    <w:rsid w:val="00DB129B"/>
    <w:rsid w:val="00DC09C6"/>
    <w:rsid w:val="00DC3E00"/>
    <w:rsid w:val="00DC44FE"/>
    <w:rsid w:val="00DD0EC7"/>
    <w:rsid w:val="00DD28DC"/>
    <w:rsid w:val="00DD7A87"/>
    <w:rsid w:val="00DE2C11"/>
    <w:rsid w:val="00DF5994"/>
    <w:rsid w:val="00E00852"/>
    <w:rsid w:val="00E01FB3"/>
    <w:rsid w:val="00E11110"/>
    <w:rsid w:val="00E1392B"/>
    <w:rsid w:val="00E14264"/>
    <w:rsid w:val="00E20A5A"/>
    <w:rsid w:val="00E21308"/>
    <w:rsid w:val="00E244FF"/>
    <w:rsid w:val="00E25629"/>
    <w:rsid w:val="00E26D23"/>
    <w:rsid w:val="00E30E21"/>
    <w:rsid w:val="00E54891"/>
    <w:rsid w:val="00E54A8D"/>
    <w:rsid w:val="00E54F9A"/>
    <w:rsid w:val="00E55136"/>
    <w:rsid w:val="00E63D8B"/>
    <w:rsid w:val="00E6794A"/>
    <w:rsid w:val="00E82589"/>
    <w:rsid w:val="00E82E1A"/>
    <w:rsid w:val="00E83D72"/>
    <w:rsid w:val="00E94B2D"/>
    <w:rsid w:val="00EA3548"/>
    <w:rsid w:val="00EB125D"/>
    <w:rsid w:val="00EC0ED7"/>
    <w:rsid w:val="00EC160A"/>
    <w:rsid w:val="00EC1765"/>
    <w:rsid w:val="00EC420F"/>
    <w:rsid w:val="00EC4A72"/>
    <w:rsid w:val="00EC4E8B"/>
    <w:rsid w:val="00ED7394"/>
    <w:rsid w:val="00EE415A"/>
    <w:rsid w:val="00EF078E"/>
    <w:rsid w:val="00EF25CF"/>
    <w:rsid w:val="00EF3CF2"/>
    <w:rsid w:val="00F027D8"/>
    <w:rsid w:val="00F11F61"/>
    <w:rsid w:val="00F12E05"/>
    <w:rsid w:val="00F202A0"/>
    <w:rsid w:val="00F2124C"/>
    <w:rsid w:val="00F3051E"/>
    <w:rsid w:val="00F37220"/>
    <w:rsid w:val="00F430EA"/>
    <w:rsid w:val="00F44DC4"/>
    <w:rsid w:val="00F4644E"/>
    <w:rsid w:val="00F558D7"/>
    <w:rsid w:val="00F56B4D"/>
    <w:rsid w:val="00F64188"/>
    <w:rsid w:val="00F663DE"/>
    <w:rsid w:val="00F668D6"/>
    <w:rsid w:val="00F70C76"/>
    <w:rsid w:val="00F76025"/>
    <w:rsid w:val="00F76CD8"/>
    <w:rsid w:val="00F83295"/>
    <w:rsid w:val="00F84973"/>
    <w:rsid w:val="00F86FAC"/>
    <w:rsid w:val="00F87938"/>
    <w:rsid w:val="00F905DA"/>
    <w:rsid w:val="00F92369"/>
    <w:rsid w:val="00F93152"/>
    <w:rsid w:val="00F959B6"/>
    <w:rsid w:val="00FA2DD0"/>
    <w:rsid w:val="00FA67A8"/>
    <w:rsid w:val="00FB1526"/>
    <w:rsid w:val="00FB155E"/>
    <w:rsid w:val="00FB2B15"/>
    <w:rsid w:val="00FB4DE3"/>
    <w:rsid w:val="00FB5952"/>
    <w:rsid w:val="00FC1491"/>
    <w:rsid w:val="00FC2277"/>
    <w:rsid w:val="00FC383C"/>
    <w:rsid w:val="00FC4BF0"/>
    <w:rsid w:val="00FD19FC"/>
    <w:rsid w:val="00FD4F93"/>
    <w:rsid w:val="00FD5E5E"/>
    <w:rsid w:val="00FD61DB"/>
    <w:rsid w:val="00FD6CA7"/>
    <w:rsid w:val="00FF183E"/>
    <w:rsid w:val="00FF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ECD07D"/>
  <w15:docId w15:val="{4EE97215-B60E-426B-B330-6599B832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7E6F"/>
    <w:rPr>
      <w:sz w:val="24"/>
      <w:szCs w:val="24"/>
    </w:rPr>
  </w:style>
  <w:style w:type="paragraph" w:styleId="Heading1">
    <w:name w:val="heading 1"/>
    <w:basedOn w:val="Normal"/>
    <w:next w:val="Normal"/>
    <w:qFormat/>
    <w:rsid w:val="009D4DA6"/>
    <w:pPr>
      <w:widowControl w:val="0"/>
      <w:numPr>
        <w:numId w:val="1"/>
      </w:numPr>
      <w:tabs>
        <w:tab w:val="clear" w:pos="432"/>
        <w:tab w:val="num" w:pos="90"/>
      </w:tabs>
      <w:spacing w:before="240" w:after="60"/>
      <w:ind w:left="90" w:right="540" w:hanging="360"/>
      <w:outlineLvl w:val="0"/>
    </w:pPr>
    <w:rPr>
      <w:rFonts w:ascii="Arial" w:hAnsi="Arial" w:cs="Arial"/>
      <w:b/>
      <w:bCs/>
      <w:kern w:val="28"/>
      <w:sz w:val="28"/>
      <w:szCs w:val="28"/>
    </w:rPr>
  </w:style>
  <w:style w:type="paragraph" w:styleId="Heading2">
    <w:name w:val="heading 2"/>
    <w:basedOn w:val="Normal"/>
    <w:next w:val="Normal"/>
    <w:link w:val="Heading2Char"/>
    <w:qFormat/>
    <w:rsid w:val="00055CCE"/>
    <w:pPr>
      <w:widowControl w:val="0"/>
      <w:numPr>
        <w:ilvl w:val="1"/>
        <w:numId w:val="1"/>
      </w:numPr>
      <w:tabs>
        <w:tab w:val="clear" w:pos="1476"/>
        <w:tab w:val="num" w:pos="180"/>
      </w:tabs>
      <w:spacing w:before="240" w:after="60"/>
      <w:ind w:left="180" w:right="810" w:hanging="450"/>
      <w:outlineLvl w:val="1"/>
    </w:pPr>
    <w:rPr>
      <w:rFonts w:ascii="Aptos" w:hAnsi="Aptos" w:cs="Arial"/>
      <w:iCs/>
      <w:color w:val="121212"/>
      <w:sz w:val="20"/>
      <w:szCs w:val="20"/>
    </w:rPr>
  </w:style>
  <w:style w:type="paragraph" w:styleId="Heading3">
    <w:name w:val="heading 3"/>
    <w:basedOn w:val="Normal"/>
    <w:next w:val="Normal"/>
    <w:qFormat/>
    <w:rsid w:val="00FB1526"/>
    <w:pPr>
      <w:keepNext/>
      <w:numPr>
        <w:ilvl w:val="2"/>
        <w:numId w:val="1"/>
      </w:numPr>
      <w:spacing w:before="240" w:after="60"/>
      <w:outlineLvl w:val="2"/>
    </w:pPr>
    <w:rPr>
      <w:rFonts w:ascii="Aptos" w:hAnsi="Aptos" w:cs="Arial"/>
      <w:sz w:val="20"/>
      <w:szCs w:val="20"/>
    </w:rPr>
  </w:style>
  <w:style w:type="paragraph" w:styleId="Heading4">
    <w:name w:val="heading 4"/>
    <w:basedOn w:val="Normal"/>
    <w:next w:val="Normal"/>
    <w:qFormat/>
    <w:pPr>
      <w:keepNext/>
      <w:numPr>
        <w:ilvl w:val="3"/>
        <w:numId w:val="1"/>
      </w:numPr>
      <w:spacing w:before="240" w:after="60"/>
      <w:outlineLvl w:val="3"/>
    </w:pPr>
    <w:rPr>
      <w:rFonts w:ascii="Arial" w:hAnsi="Arial" w:cs="Arial"/>
      <w:b/>
      <w:bCs/>
    </w:rPr>
  </w:style>
  <w:style w:type="paragraph" w:styleId="Heading5">
    <w:name w:val="heading 5"/>
    <w:basedOn w:val="Normal"/>
    <w:next w:val="Normal"/>
    <w:qFormat/>
    <w:pPr>
      <w:numPr>
        <w:ilvl w:val="4"/>
        <w:numId w:val="1"/>
      </w:numPr>
      <w:spacing w:before="240" w:after="60"/>
      <w:outlineLvl w:val="4"/>
    </w:pPr>
    <w:rPr>
      <w:sz w:val="22"/>
      <w:szCs w:val="22"/>
    </w:rPr>
  </w:style>
  <w:style w:type="paragraph" w:styleId="Heading6">
    <w:name w:val="heading 6"/>
    <w:basedOn w:val="Normal"/>
    <w:next w:val="Normal"/>
    <w:qFormat/>
    <w:pPr>
      <w:numPr>
        <w:ilvl w:val="5"/>
        <w:numId w:val="1"/>
      </w:numPr>
      <w:spacing w:before="240" w:after="60"/>
      <w:outlineLvl w:val="5"/>
    </w:pPr>
    <w:rPr>
      <w:i/>
      <w:iCs/>
      <w:sz w:val="22"/>
      <w:szCs w:val="22"/>
    </w:rPr>
  </w:style>
  <w:style w:type="paragraph" w:styleId="Heading7">
    <w:name w:val="heading 7"/>
    <w:basedOn w:val="Normal"/>
    <w:next w:val="Normal"/>
    <w:qFormat/>
    <w:pPr>
      <w:numPr>
        <w:ilvl w:val="6"/>
        <w:numId w:val="1"/>
      </w:numPr>
      <w:spacing w:before="240" w:after="60"/>
      <w:outlineLvl w:val="6"/>
    </w:pPr>
    <w:rPr>
      <w:rFonts w:ascii="Arial" w:hAnsi="Arial" w:cs="Arial"/>
      <w:sz w:val="20"/>
      <w:szCs w:val="20"/>
    </w:rPr>
  </w:style>
  <w:style w:type="paragraph" w:styleId="Heading8">
    <w:name w:val="heading 8"/>
    <w:basedOn w:val="Normal"/>
    <w:next w:val="Normal"/>
    <w:qFormat/>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qFormat/>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BodyText">
    <w:name w:val="Body Text"/>
    <w:basedOn w:val="Normal"/>
    <w:pPr>
      <w:jc w:val="center"/>
    </w:pPr>
    <w:rPr>
      <w:b/>
      <w:bCs/>
      <w:sz w:val="28"/>
      <w:szCs w:val="28"/>
    </w:rPr>
  </w:style>
  <w:style w:type="paragraph" w:styleId="BodyTextIndent">
    <w:name w:val="Body Text Indent"/>
    <w:basedOn w:val="Normal"/>
    <w:pPr>
      <w:ind w:left="540"/>
    </w:pPr>
    <w:rPr>
      <w:rFonts w:ascii="Arial" w:hAnsi="Arial" w:cs="Arial"/>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Arial" w:hAnsi="Arial" w:cs="Arial"/>
    </w:rPr>
  </w:style>
  <w:style w:type="table" w:styleId="TableGrid">
    <w:name w:val="Table Grid"/>
    <w:basedOn w:val="TableNormal"/>
    <w:rsid w:val="002C4AA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nk">
    <w:name w:val="Blank"/>
    <w:basedOn w:val="Normal"/>
    <w:autoRedefine/>
    <w:rsid w:val="0072668F"/>
    <w:pPr>
      <w:suppressAutoHyphens/>
      <w:ind w:left="1170"/>
    </w:pPr>
    <w:rPr>
      <w:rFonts w:ascii="Arial" w:hAnsi="Arial" w:cs="Arial"/>
      <w:sz w:val="20"/>
      <w:szCs w:val="20"/>
    </w:rPr>
  </w:style>
  <w:style w:type="character" w:styleId="Hyperlink">
    <w:name w:val="Hyperlink"/>
    <w:unhideWhenUsed/>
    <w:rsid w:val="00BB09E4"/>
    <w:rPr>
      <w:color w:val="0000FF"/>
      <w:u w:val="single"/>
    </w:rPr>
  </w:style>
  <w:style w:type="paragraph" w:styleId="BodyText2">
    <w:name w:val="Body Text 2"/>
    <w:basedOn w:val="Normal"/>
    <w:link w:val="BodyText2Char"/>
    <w:rsid w:val="00866A41"/>
    <w:pPr>
      <w:spacing w:after="120" w:line="480" w:lineRule="auto"/>
    </w:pPr>
  </w:style>
  <w:style w:type="character" w:customStyle="1" w:styleId="BodyText2Char">
    <w:name w:val="Body Text 2 Char"/>
    <w:link w:val="BodyText2"/>
    <w:rsid w:val="00866A41"/>
    <w:rPr>
      <w:sz w:val="24"/>
      <w:szCs w:val="24"/>
    </w:rPr>
  </w:style>
  <w:style w:type="paragraph" w:customStyle="1" w:styleId="Leveltop">
    <w:name w:val="Level (top)"/>
    <w:rsid w:val="00002591"/>
    <w:pPr>
      <w:numPr>
        <w:numId w:val="3"/>
      </w:numPr>
      <w:spacing w:before="520" w:line="260" w:lineRule="exact"/>
    </w:pPr>
    <w:rPr>
      <w:rFonts w:ascii="Arial" w:hAnsi="Arial"/>
      <w:caps/>
      <w:sz w:val="22"/>
    </w:rPr>
  </w:style>
  <w:style w:type="paragraph" w:customStyle="1" w:styleId="Level1">
    <w:name w:val="Level 1"/>
    <w:rsid w:val="00002591"/>
    <w:pPr>
      <w:numPr>
        <w:ilvl w:val="1"/>
        <w:numId w:val="3"/>
      </w:numPr>
      <w:spacing w:before="260" w:line="260" w:lineRule="exact"/>
    </w:pPr>
    <w:rPr>
      <w:rFonts w:ascii="Arial" w:hAnsi="Arial"/>
      <w:caps/>
      <w:sz w:val="22"/>
    </w:rPr>
  </w:style>
  <w:style w:type="paragraph" w:customStyle="1" w:styleId="Level2">
    <w:name w:val="Level 2"/>
    <w:rsid w:val="00002591"/>
    <w:pPr>
      <w:numPr>
        <w:ilvl w:val="2"/>
        <w:numId w:val="3"/>
      </w:numPr>
      <w:tabs>
        <w:tab w:val="left" w:pos="720"/>
      </w:tabs>
      <w:spacing w:before="120" w:line="260" w:lineRule="exact"/>
    </w:pPr>
    <w:rPr>
      <w:rFonts w:ascii="Arial" w:hAnsi="Arial"/>
      <w:sz w:val="22"/>
    </w:rPr>
  </w:style>
  <w:style w:type="paragraph" w:customStyle="1" w:styleId="Level3">
    <w:name w:val="Level 3"/>
    <w:rsid w:val="00002591"/>
    <w:pPr>
      <w:numPr>
        <w:ilvl w:val="3"/>
        <w:numId w:val="3"/>
      </w:numPr>
      <w:tabs>
        <w:tab w:val="right" w:pos="1260"/>
      </w:tabs>
      <w:spacing w:before="80" w:line="260" w:lineRule="exact"/>
    </w:pPr>
    <w:rPr>
      <w:rFonts w:ascii="Arial" w:hAnsi="Arial"/>
      <w:sz w:val="22"/>
    </w:rPr>
  </w:style>
  <w:style w:type="paragraph" w:customStyle="1" w:styleId="Level4">
    <w:name w:val="Level 4"/>
    <w:rsid w:val="00002591"/>
    <w:pPr>
      <w:numPr>
        <w:ilvl w:val="4"/>
        <w:numId w:val="3"/>
      </w:numPr>
      <w:tabs>
        <w:tab w:val="left" w:pos="1440"/>
      </w:tabs>
      <w:spacing w:before="40" w:line="260" w:lineRule="exact"/>
    </w:pPr>
    <w:rPr>
      <w:rFonts w:ascii="Arial" w:hAnsi="Arial"/>
      <w:sz w:val="22"/>
    </w:rPr>
  </w:style>
  <w:style w:type="paragraph" w:customStyle="1" w:styleId="Level5">
    <w:name w:val="Level 5"/>
    <w:basedOn w:val="Level4"/>
    <w:rsid w:val="00002591"/>
    <w:pPr>
      <w:numPr>
        <w:ilvl w:val="5"/>
      </w:numPr>
      <w:tabs>
        <w:tab w:val="clear" w:pos="1440"/>
      </w:tabs>
    </w:pPr>
  </w:style>
  <w:style w:type="paragraph" w:styleId="BalloonText">
    <w:name w:val="Balloon Text"/>
    <w:basedOn w:val="Normal"/>
    <w:link w:val="BalloonTextChar"/>
    <w:rsid w:val="00574685"/>
    <w:rPr>
      <w:rFonts w:ascii="Tahoma" w:hAnsi="Tahoma" w:cs="Tahoma"/>
      <w:sz w:val="16"/>
      <w:szCs w:val="16"/>
    </w:rPr>
  </w:style>
  <w:style w:type="character" w:customStyle="1" w:styleId="BalloonTextChar">
    <w:name w:val="Balloon Text Char"/>
    <w:basedOn w:val="DefaultParagraphFont"/>
    <w:link w:val="BalloonText"/>
    <w:rsid w:val="00574685"/>
    <w:rPr>
      <w:rFonts w:ascii="Tahoma" w:hAnsi="Tahoma" w:cs="Tahoma"/>
      <w:sz w:val="16"/>
      <w:szCs w:val="16"/>
    </w:rPr>
  </w:style>
  <w:style w:type="paragraph" w:styleId="Title">
    <w:name w:val="Title"/>
    <w:basedOn w:val="Normal"/>
    <w:next w:val="Normal"/>
    <w:link w:val="TitleChar"/>
    <w:qFormat/>
    <w:rsid w:val="008461C5"/>
    <w:pPr>
      <w:contextualSpacing/>
      <w:jc w:val="center"/>
    </w:pPr>
    <w:rPr>
      <w:rFonts w:ascii="Aptos" w:eastAsiaTheme="majorEastAsia" w:hAnsi="Aptos" w:cstheme="majorBidi"/>
      <w:b/>
      <w:bCs/>
      <w:color w:val="121212"/>
      <w:spacing w:val="-10"/>
      <w:kern w:val="28"/>
      <w:sz w:val="36"/>
      <w:szCs w:val="36"/>
    </w:rPr>
  </w:style>
  <w:style w:type="character" w:customStyle="1" w:styleId="TitleChar">
    <w:name w:val="Title Char"/>
    <w:basedOn w:val="DefaultParagraphFont"/>
    <w:link w:val="Title"/>
    <w:rsid w:val="008461C5"/>
    <w:rPr>
      <w:rFonts w:ascii="Aptos" w:eastAsiaTheme="majorEastAsia" w:hAnsi="Aptos" w:cstheme="majorBidi"/>
      <w:b/>
      <w:bCs/>
      <w:color w:val="121212"/>
      <w:spacing w:val="-10"/>
      <w:kern w:val="28"/>
      <w:sz w:val="36"/>
      <w:szCs w:val="36"/>
    </w:rPr>
  </w:style>
  <w:style w:type="paragraph" w:styleId="IntenseQuote">
    <w:name w:val="Intense Quote"/>
    <w:basedOn w:val="Normal"/>
    <w:next w:val="Normal"/>
    <w:link w:val="IntenseQuoteChar"/>
    <w:uiPriority w:val="30"/>
    <w:rsid w:val="008461C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461C5"/>
    <w:rPr>
      <w:i/>
      <w:iCs/>
      <w:color w:val="4F81BD" w:themeColor="accent1"/>
      <w:sz w:val="24"/>
      <w:szCs w:val="24"/>
    </w:rPr>
  </w:style>
  <w:style w:type="character" w:styleId="IntenseEmphasis">
    <w:name w:val="Intense Emphasis"/>
    <w:basedOn w:val="IntenseQuoteChar"/>
    <w:uiPriority w:val="21"/>
    <w:rsid w:val="008461C5"/>
    <w:rPr>
      <w:i/>
      <w:iCs/>
      <w:color w:val="4F81BD" w:themeColor="accent1"/>
      <w:sz w:val="24"/>
      <w:szCs w:val="24"/>
    </w:rPr>
  </w:style>
  <w:style w:type="paragraph" w:customStyle="1" w:styleId="SubHeading">
    <w:name w:val="SubHeading"/>
    <w:basedOn w:val="Title"/>
    <w:link w:val="SubHeadingChar"/>
    <w:qFormat/>
    <w:rsid w:val="002C7ABE"/>
    <w:rPr>
      <w:b w:val="0"/>
      <w:bCs w:val="0"/>
      <w:sz w:val="28"/>
    </w:rPr>
  </w:style>
  <w:style w:type="character" w:customStyle="1" w:styleId="SubHeadingChar">
    <w:name w:val="SubHeading Char"/>
    <w:basedOn w:val="TitleChar"/>
    <w:link w:val="SubHeading"/>
    <w:rsid w:val="002C7ABE"/>
    <w:rPr>
      <w:rFonts w:ascii="Aptos" w:eastAsiaTheme="majorEastAsia" w:hAnsi="Aptos" w:cstheme="majorBidi"/>
      <w:b w:val="0"/>
      <w:bCs w:val="0"/>
      <w:color w:val="121212"/>
      <w:spacing w:val="-10"/>
      <w:kern w:val="28"/>
      <w:sz w:val="28"/>
      <w:szCs w:val="36"/>
    </w:rPr>
  </w:style>
  <w:style w:type="character" w:styleId="SubtleEmphasis">
    <w:name w:val="Subtle Emphasis"/>
    <w:basedOn w:val="SubHeadingChar"/>
    <w:uiPriority w:val="19"/>
    <w:qFormat/>
    <w:rsid w:val="008461C5"/>
    <w:rPr>
      <w:rFonts w:ascii="Aptos" w:eastAsiaTheme="majorEastAsia" w:hAnsi="Aptos" w:cstheme="majorBidi"/>
      <w:b w:val="0"/>
      <w:bCs w:val="0"/>
      <w:color w:val="121212"/>
      <w:spacing w:val="-10"/>
      <w:kern w:val="28"/>
      <w:sz w:val="28"/>
      <w:szCs w:val="28"/>
    </w:rPr>
  </w:style>
  <w:style w:type="paragraph" w:styleId="ListParagraph">
    <w:name w:val="List Paragraph"/>
    <w:basedOn w:val="Normal"/>
    <w:uiPriority w:val="34"/>
    <w:qFormat/>
    <w:rsid w:val="0042140A"/>
    <w:pPr>
      <w:ind w:left="720"/>
      <w:contextualSpacing/>
    </w:pPr>
  </w:style>
  <w:style w:type="paragraph" w:styleId="NormalWeb">
    <w:name w:val="Normal (Web)"/>
    <w:basedOn w:val="Normal"/>
    <w:uiPriority w:val="99"/>
    <w:unhideWhenUsed/>
    <w:rsid w:val="006E7CCA"/>
    <w:pPr>
      <w:spacing w:before="100" w:beforeAutospacing="1" w:after="100" w:afterAutospacing="1"/>
    </w:pPr>
  </w:style>
  <w:style w:type="paragraph" w:customStyle="1" w:styleId="11Head-Bullet">
    <w:name w:val="1.1 Head-Bullet"/>
    <w:basedOn w:val="BodyText"/>
    <w:link w:val="11Head-BulletChar"/>
    <w:qFormat/>
    <w:rsid w:val="00AA4DE3"/>
    <w:pPr>
      <w:numPr>
        <w:numId w:val="6"/>
      </w:numPr>
      <w:ind w:hanging="270"/>
      <w:jc w:val="left"/>
    </w:pPr>
    <w:rPr>
      <w:rFonts w:ascii="Aptos" w:hAnsi="Aptos"/>
      <w:b w:val="0"/>
      <w:bCs w:val="0"/>
      <w:sz w:val="20"/>
      <w:szCs w:val="20"/>
    </w:rPr>
  </w:style>
  <w:style w:type="character" w:customStyle="1" w:styleId="Heading2Char">
    <w:name w:val="Heading 2 Char"/>
    <w:basedOn w:val="DefaultParagraphFont"/>
    <w:link w:val="Heading2"/>
    <w:rsid w:val="00055CCE"/>
    <w:rPr>
      <w:rFonts w:ascii="Aptos" w:hAnsi="Aptos" w:cs="Arial"/>
      <w:iCs/>
      <w:color w:val="121212"/>
    </w:rPr>
  </w:style>
  <w:style w:type="character" w:customStyle="1" w:styleId="11Head-BulletChar">
    <w:name w:val="1.1 Head-Bullet Char"/>
    <w:basedOn w:val="Heading2Char"/>
    <w:link w:val="11Head-Bullet"/>
    <w:rsid w:val="00AA4DE3"/>
    <w:rPr>
      <w:rFonts w:ascii="Aptos" w:hAnsi="Aptos" w:cs="Arial"/>
      <w:iCs w:val="0"/>
      <w:color w:val="121212"/>
    </w:rPr>
  </w:style>
  <w:style w:type="character" w:styleId="UnresolvedMention">
    <w:name w:val="Unresolved Mention"/>
    <w:basedOn w:val="DefaultParagraphFont"/>
    <w:uiPriority w:val="99"/>
    <w:semiHidden/>
    <w:unhideWhenUsed/>
    <w:rsid w:val="000F3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04867">
      <w:bodyDiv w:val="1"/>
      <w:marLeft w:val="0"/>
      <w:marRight w:val="0"/>
      <w:marTop w:val="0"/>
      <w:marBottom w:val="0"/>
      <w:divBdr>
        <w:top w:val="none" w:sz="0" w:space="0" w:color="auto"/>
        <w:left w:val="none" w:sz="0" w:space="0" w:color="auto"/>
        <w:bottom w:val="none" w:sz="0" w:space="0" w:color="auto"/>
        <w:right w:val="none" w:sz="0" w:space="0" w:color="auto"/>
      </w:divBdr>
    </w:div>
    <w:div w:id="20674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VarSte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s\OneDrive\Documents\Custom%20Office%20Templates\Guide%20Form%20Specif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39AD2BD9EF5744A93D330800BBA098" ma:contentTypeVersion="12" ma:contentTypeDescription="Create a new document." ma:contentTypeScope="" ma:versionID="53c6a75c1dc2e3e96ac04e6d146483af">
  <xsd:schema xmlns:xsd="http://www.w3.org/2001/XMLSchema" xmlns:xs="http://www.w3.org/2001/XMLSchema" xmlns:p="http://schemas.microsoft.com/office/2006/metadata/properties" xmlns:ns2="f06edbc9-4a38-4633-ac57-12812ade00da" xmlns:ns3="5733c3ee-3ed4-4876-80d1-ffc06c69238d" targetNamespace="http://schemas.microsoft.com/office/2006/metadata/properties" ma:root="true" ma:fieldsID="3e06dbbfe3e4aaeee4bddc3101a9e35d" ns2:_="" ns3:_="">
    <xsd:import namespace="f06edbc9-4a38-4633-ac57-12812ade00da"/>
    <xsd:import namespace="5733c3ee-3ed4-4876-80d1-ffc06c6923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edbc9-4a38-4633-ac57-12812ade0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1eb04f-e05f-4397-87ae-cd0659b49bd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33c3ee-3ed4-4876-80d1-ffc06c6923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4d54e4-43ca-4912-830a-8b9c716c240c}" ma:internalName="TaxCatchAll" ma:showField="CatchAllData" ma:web="5733c3ee-3ed4-4876-80d1-ffc06c6923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6edbc9-4a38-4633-ac57-12812ade00da">
      <Terms xmlns="http://schemas.microsoft.com/office/infopath/2007/PartnerControls"/>
    </lcf76f155ced4ddcb4097134ff3c332f>
    <TaxCatchAll xmlns="5733c3ee-3ed4-4876-80d1-ffc06c6923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E1008E-0EA9-4068-A64A-3C8989AC9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edbc9-4a38-4633-ac57-12812ade00da"/>
    <ds:schemaRef ds:uri="5733c3ee-3ed4-4876-80d1-ffc06c692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A88F22-D67D-4FD3-A5F6-8D9BAC205FDE}">
  <ds:schemaRefs>
    <ds:schemaRef ds:uri="http://schemas.microsoft.com/office/2006/metadata/properties"/>
    <ds:schemaRef ds:uri="http://schemas.microsoft.com/office/infopath/2007/PartnerControls"/>
    <ds:schemaRef ds:uri="f06edbc9-4a38-4633-ac57-12812ade00da"/>
    <ds:schemaRef ds:uri="5733c3ee-3ed4-4876-80d1-ffc06c69238d"/>
  </ds:schemaRefs>
</ds:datastoreItem>
</file>

<file path=customXml/itemProps3.xml><?xml version="1.0" encoding="utf-8"?>
<ds:datastoreItem xmlns:ds="http://schemas.openxmlformats.org/officeDocument/2006/customXml" ds:itemID="{5F7F6E31-BF27-413D-8B3C-8BE952A57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Guide Form Specification</Template>
  <TotalTime>46</TotalTime>
  <Pages>20</Pages>
  <Words>8148</Words>
  <Characters>49707</Characters>
  <Application>Microsoft Office Word</Application>
  <DocSecurity>0</DocSecurity>
  <Lines>903</Lines>
  <Paragraphs>503</Paragraphs>
  <ScaleCrop>false</ScaleCrop>
  <HeadingPairs>
    <vt:vector size="2" baseType="variant">
      <vt:variant>
        <vt:lpstr>Title</vt:lpstr>
      </vt:variant>
      <vt:variant>
        <vt:i4>1</vt:i4>
      </vt:variant>
    </vt:vector>
  </HeadingPairs>
  <TitlesOfParts>
    <vt:vector size="1" baseType="lpstr">
      <vt:lpstr>Guide Form Specification</vt:lpstr>
    </vt:vector>
  </TitlesOfParts>
  <Company>VarStec Power Solutions</Company>
  <LinksUpToDate>false</LinksUpToDate>
  <CharactersWithSpaces>57352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Form Specification for Medium-Voltage Metal-Enclosed Harmonic Filter Banks for Semiconductor and Precision Manufacturing Applications</dc:title>
  <dc:subject>Engineering</dc:subject>
  <dc:creator>Paul Steciuk;Paul B. Steciuk;VarStec Power Solutions</dc:creator>
  <cp:keywords>IEEE 18-2025, IEEE 519-2022, IEEE 1036-2020, IEEE C37.66-2021 IEEE C37.99-2012</cp:keywords>
  <dc:description>Professional Engineering Guideform Specification for Medium Voltage Metal-Enclosed Harmonic Filter Bank Designed for Chip Fabrication and Precission Manufacturing Plant</dc:description>
  <cp:lastModifiedBy>Justine Steciuk</cp:lastModifiedBy>
  <cp:revision>45</cp:revision>
  <cp:lastPrinted>2001-01-04T12:39:00Z</cp:lastPrinted>
  <dcterms:created xsi:type="dcterms:W3CDTF">2026-04-09T03:46:00Z</dcterms:created>
  <dcterms:modified xsi:type="dcterms:W3CDTF">2026-04-21T16:15:00Z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0x010100D339AD2BD9EF5744A93D330800BBA098</vt:lpwstr>
  </property>
</Properties>
</file>