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ADE55" w14:textId="77777777" w:rsidR="00574685" w:rsidRDefault="00574685" w:rsidP="007A7325">
      <w:pPr>
        <w:ind w:right="540"/>
      </w:pPr>
    </w:p>
    <w:p w14:paraId="44E17632" w14:textId="77777777" w:rsidR="00D8422A" w:rsidRDefault="00D8422A" w:rsidP="007A7325">
      <w:pPr>
        <w:ind w:right="540"/>
      </w:pPr>
    </w:p>
    <w:p w14:paraId="77B95ECC" w14:textId="3382F433" w:rsidR="00D8422A" w:rsidRPr="00714725" w:rsidRDefault="00941FA7" w:rsidP="000F4A50">
      <w:pPr>
        <w:ind w:right="540"/>
        <w:jc w:val="center"/>
        <w:rPr>
          <w:rFonts w:ascii="Aptos" w:hAnsi="Aptos"/>
          <w:sz w:val="20"/>
          <w:szCs w:val="20"/>
        </w:rPr>
      </w:pPr>
      <w:r w:rsidRPr="00714725">
        <w:rPr>
          <w:rFonts w:ascii="Aptos" w:hAnsi="Aptos"/>
          <w:sz w:val="20"/>
          <w:szCs w:val="20"/>
        </w:rPr>
        <w:t xml:space="preserve">Last Updated April </w:t>
      </w:r>
      <w:r w:rsidR="00714725" w:rsidRPr="00714725">
        <w:rPr>
          <w:rFonts w:ascii="Aptos" w:hAnsi="Aptos"/>
          <w:sz w:val="20"/>
          <w:szCs w:val="20"/>
        </w:rPr>
        <w:t>5, 2026</w:t>
      </w:r>
      <w:r w:rsidR="00714725" w:rsidRPr="00714725">
        <w:rPr>
          <w:rFonts w:ascii="Aptos" w:hAnsi="Aptos"/>
          <w:sz w:val="20"/>
          <w:szCs w:val="20"/>
        </w:rPr>
        <w:br/>
      </w:r>
    </w:p>
    <w:p w14:paraId="4AD41BE8" w14:textId="6EA695D5" w:rsidR="00667E6F" w:rsidRPr="00AF5EBE" w:rsidRDefault="00667E6F" w:rsidP="00AF5EBE">
      <w:pPr>
        <w:pStyle w:val="Title"/>
      </w:pPr>
      <w:r w:rsidRPr="002C7ABE">
        <w:t>Guide F</w:t>
      </w:r>
      <w:r w:rsidRPr="00AF5EBE">
        <w:t>orm Specification for Medium Voltage</w:t>
      </w:r>
      <w:r w:rsidR="0004623E">
        <w:t xml:space="preserve"> Automatic</w:t>
      </w:r>
    </w:p>
    <w:p w14:paraId="65021500" w14:textId="77777777" w:rsidR="00870987" w:rsidRDefault="0004623E" w:rsidP="00620972">
      <w:pPr>
        <w:pStyle w:val="Title"/>
      </w:pPr>
      <w:r>
        <w:t xml:space="preserve">Metal-Enclosed </w:t>
      </w:r>
      <w:r w:rsidR="00A30178">
        <w:t>Power Capacitor Bank</w:t>
      </w:r>
    </w:p>
    <w:p w14:paraId="6E02A485" w14:textId="77777777" w:rsidR="004F44CF" w:rsidRDefault="00896728" w:rsidP="00870987">
      <w:pPr>
        <w:pStyle w:val="Title"/>
        <w:jc w:val="left"/>
        <w:rPr>
          <w:b w:val="0"/>
          <w:bCs w:val="0"/>
          <w:sz w:val="24"/>
          <w:szCs w:val="24"/>
        </w:rPr>
      </w:pPr>
      <w:r>
        <w:rPr>
          <w:b w:val="0"/>
          <w:bCs w:val="0"/>
          <w:sz w:val="24"/>
          <w:szCs w:val="24"/>
        </w:rPr>
        <w:br/>
      </w:r>
      <w:r w:rsidR="008B2C24" w:rsidRPr="008B2C24">
        <w:rPr>
          <w:sz w:val="24"/>
          <w:szCs w:val="24"/>
        </w:rPr>
        <w:t>Design Criteria:</w:t>
      </w:r>
      <w:r w:rsidR="008B2C24" w:rsidRPr="008B2C24">
        <w:rPr>
          <w:b w:val="0"/>
          <w:bCs w:val="0"/>
          <w:sz w:val="24"/>
          <w:szCs w:val="24"/>
        </w:rPr>
        <w:t xml:space="preserve"> Renewable power plant collector system application, typical for solar and wind facilities, requiring reactive power support, power factor correction, voltage support, and a filter-ready design suitable for future detuning or harmonic filter conversion if required by the project harmonic study, utility interconnection requirements, or site operating conditions.</w:t>
      </w:r>
    </w:p>
    <w:p w14:paraId="166A02BD" w14:textId="60D6C57D" w:rsidR="00667E6F" w:rsidRPr="009D4DA6" w:rsidRDefault="008461C5" w:rsidP="009D4DA6">
      <w:pPr>
        <w:pStyle w:val="Heading1"/>
      </w:pPr>
      <w:r w:rsidRPr="009D4DA6">
        <w:t>General</w:t>
      </w:r>
    </w:p>
    <w:p w14:paraId="2566DAA5" w14:textId="4E492A74" w:rsidR="00783603" w:rsidRPr="00783603" w:rsidRDefault="00783603" w:rsidP="00AB1F1F">
      <w:pPr>
        <w:pStyle w:val="Heading2"/>
      </w:pPr>
      <w:r w:rsidRPr="00783603">
        <w:rPr>
          <w:b/>
          <w:bCs/>
        </w:rPr>
        <w:t>1.1 Scope of Work</w:t>
      </w:r>
      <w:r>
        <w:br/>
      </w:r>
      <w:r w:rsidRPr="00783603">
        <w:t xml:space="preserve">This specification governs the design, manufacture, and testing of a medium-voltage, three-phase, metal-enclosed automatic capacitor bank that is </w:t>
      </w:r>
      <w:r w:rsidRPr="00783603">
        <w:rPr>
          <w:b/>
          <w:bCs/>
        </w:rPr>
        <w:t>Filter Ready</w:t>
      </w:r>
      <w:r w:rsidRPr="00783603">
        <w:t>. A Filter Ready design ensures the equipment can be efficiently converted from a shunt power capacitor bank to a harmonic filter bank in the field, protecting the initial capital investment if system resonance or harmonic amplification is identified post-commissioning.</w:t>
      </w:r>
      <w:r>
        <w:br/>
      </w:r>
      <w:r>
        <w:br/>
      </w:r>
      <w:r w:rsidRPr="00783603">
        <w:t xml:space="preserve">Interconnect studies for </w:t>
      </w:r>
      <w:r w:rsidR="00510113">
        <w:t xml:space="preserve">renewable </w:t>
      </w:r>
      <w:r w:rsidRPr="00783603">
        <w:t>projects</w:t>
      </w:r>
      <w:r w:rsidR="0098365C">
        <w:t xml:space="preserve">, </w:t>
      </w:r>
      <w:r w:rsidRPr="00783603">
        <w:t>particularly those utilizing reactive compensation</w:t>
      </w:r>
      <w:r w:rsidR="0098365C">
        <w:t xml:space="preserve">, </w:t>
      </w:r>
      <w:r w:rsidRPr="00783603">
        <w:t xml:space="preserve">often identify potential resonance. Because the exact harmonic levels and amplification factors can be difficult to quantify during the design phase, studies may not always align with field </w:t>
      </w:r>
      <w:r w:rsidR="0098365C">
        <w:t>results after commissioning</w:t>
      </w:r>
      <w:r w:rsidRPr="00783603">
        <w:t>. The Filter Ready configuration provides a vital contingency to mitigate these risks without requiring a full equipment replacement.</w:t>
      </w:r>
      <w:r>
        <w:br/>
      </w:r>
      <w:r>
        <w:br/>
      </w:r>
      <w:r w:rsidRPr="00783603">
        <w:t>The system shall be provided as a fully integrated, compartmentalized assembly, including all switching, protection, and control components. The unit shall be shipped completely assembled and factory-tested, requiring only field anchorage, removal of shipping supports, and electrical connections to the plant’s ground, control, and power distribution systems.</w:t>
      </w:r>
    </w:p>
    <w:p w14:paraId="719A5EF7" w14:textId="77777777" w:rsidR="00EC57E4" w:rsidRDefault="00783603" w:rsidP="00AB7D77">
      <w:pPr>
        <w:pStyle w:val="Heading2"/>
      </w:pPr>
      <w:r w:rsidRPr="00EC57E4">
        <w:rPr>
          <w:b/>
          <w:bCs/>
        </w:rPr>
        <w:t>Filter Ready Requirements</w:t>
      </w:r>
      <w:r w:rsidR="00BF355C" w:rsidRPr="00EC57E4">
        <w:rPr>
          <w:b/>
          <w:bCs/>
        </w:rPr>
        <w:br/>
      </w:r>
      <w:r w:rsidRPr="00783603">
        <w:t>To meet the Filter Ready designation, the following physical and electrical provisions must be incorporated:</w:t>
      </w:r>
    </w:p>
    <w:p w14:paraId="3D6612F8" w14:textId="17A35FAE" w:rsidR="00D366C3" w:rsidRPr="00EC57E4" w:rsidRDefault="006E0774" w:rsidP="00EC57E4">
      <w:pPr>
        <w:pStyle w:val="11Head-Bullet"/>
      </w:pPr>
      <w:r w:rsidRPr="00EC57E4">
        <w:rPr>
          <w:rStyle w:val="citation-334"/>
          <w:b/>
          <w:bCs/>
        </w:rPr>
        <w:t>Capacitive Rating:</w:t>
      </w:r>
      <w:r w:rsidRPr="00EC57E4">
        <w:rPr>
          <w:rStyle w:val="citation-334"/>
        </w:rPr>
        <w:t xml:space="preserve"> All capacitors must be rated for harmonic filter duty</w:t>
      </w:r>
      <w:r w:rsidRPr="00EC57E4">
        <w:t>.</w:t>
      </w:r>
    </w:p>
    <w:p w14:paraId="1D82F2D6" w14:textId="77777777" w:rsidR="00EC57E4" w:rsidRPr="00EC57E4" w:rsidRDefault="006E0774" w:rsidP="00EC57E4">
      <w:pPr>
        <w:pStyle w:val="11Head-Bullet"/>
      </w:pPr>
      <w:r w:rsidRPr="00EC57E4">
        <w:rPr>
          <w:rStyle w:val="citation-333"/>
          <w:b/>
          <w:bCs/>
        </w:rPr>
        <w:t>Voltage Rating:</w:t>
      </w:r>
      <w:r w:rsidRPr="00EC57E4">
        <w:rPr>
          <w:rStyle w:val="citation-333"/>
        </w:rPr>
        <w:t xml:space="preserve"> This requires an increased capacitor voltage rating to account for fundamental frequency voltage rise and the additive harmonic voltages for any harmonics the bank may be required to filter upon future conversion</w:t>
      </w:r>
      <w:r w:rsidRPr="00EC57E4">
        <w:t>.</w:t>
      </w:r>
    </w:p>
    <w:p w14:paraId="7B8D41AB" w14:textId="032E2D0D" w:rsidR="006E0774" w:rsidRPr="00EC57E4" w:rsidRDefault="006E0774" w:rsidP="00EC57E4">
      <w:pPr>
        <w:pStyle w:val="11Head-Bullet"/>
      </w:pPr>
      <w:r w:rsidRPr="00EC57E4">
        <w:rPr>
          <w:rStyle w:val="citation-332"/>
          <w:b/>
          <w:bCs/>
        </w:rPr>
        <w:t>Installed Capacity:</w:t>
      </w:r>
      <w:r w:rsidRPr="00EC57E4">
        <w:rPr>
          <w:rStyle w:val="citation-332"/>
        </w:rPr>
        <w:t xml:space="preserve"> Because higher voltage nameplate capacitors are utilized, additional capacitor units (increased raw kvar) shall be installed to ensure the bank delivers the specified net reactive power when operated at the nominal system fundamental frequency</w:t>
      </w:r>
    </w:p>
    <w:p w14:paraId="663E553A" w14:textId="2D24E5B6" w:rsidR="00334BD9" w:rsidRDefault="00783603" w:rsidP="00EC57E4">
      <w:pPr>
        <w:pStyle w:val="11Head-Bullet"/>
      </w:pPr>
      <w:r w:rsidRPr="00EC57E4">
        <w:rPr>
          <w:b/>
          <w:bCs/>
        </w:rPr>
        <w:t>Conversion Provisions:</w:t>
      </w:r>
      <w:r w:rsidRPr="00EC57E4">
        <w:t xml:space="preserve"> The bank shall be designed for one of the following field-conversion methods (select one):</w:t>
      </w:r>
    </w:p>
    <w:p w14:paraId="4106FA4C" w14:textId="77777777" w:rsidR="00334BD9" w:rsidRDefault="00783603" w:rsidP="00510113">
      <w:pPr>
        <w:pStyle w:val="11Head-Bullet"/>
        <w:numPr>
          <w:ilvl w:val="1"/>
          <w:numId w:val="5"/>
        </w:numPr>
      </w:pPr>
      <w:r w:rsidRPr="00783603">
        <w:rPr>
          <w:b/>
          <w:bCs/>
        </w:rPr>
        <w:t>Internal Provision (Option 1)</w:t>
      </w:r>
      <w:r w:rsidRPr="00783603">
        <w:t>: The initial equipment offering shall include designated internal space and mounting provisions for iron-core tuning reactors. Field conversion shall require only the installation of the reactors into the existing enclosure.</w:t>
      </w:r>
    </w:p>
    <w:p w14:paraId="6936F9F1" w14:textId="77777777" w:rsidR="00F3488F" w:rsidRDefault="00F3488F" w:rsidP="00F3488F">
      <w:pPr>
        <w:pStyle w:val="11Head-Bullet"/>
        <w:numPr>
          <w:ilvl w:val="0"/>
          <w:numId w:val="0"/>
        </w:numPr>
        <w:ind w:left="450" w:hanging="360"/>
      </w:pPr>
    </w:p>
    <w:p w14:paraId="13F8445D" w14:textId="77777777" w:rsidR="00F3488F" w:rsidRDefault="00F3488F" w:rsidP="00F3488F">
      <w:pPr>
        <w:pStyle w:val="11Head-Bullet"/>
        <w:numPr>
          <w:ilvl w:val="0"/>
          <w:numId w:val="0"/>
        </w:numPr>
        <w:ind w:left="450" w:hanging="360"/>
      </w:pPr>
    </w:p>
    <w:p w14:paraId="4F3FD783" w14:textId="5E38B866" w:rsidR="00783603" w:rsidRPr="00783603" w:rsidRDefault="00783603" w:rsidP="00510113">
      <w:pPr>
        <w:pStyle w:val="11Head-Bullet"/>
        <w:numPr>
          <w:ilvl w:val="1"/>
          <w:numId w:val="5"/>
        </w:numPr>
      </w:pPr>
      <w:r w:rsidRPr="00783603">
        <w:rPr>
          <w:b/>
          <w:bCs/>
        </w:rPr>
        <w:lastRenderedPageBreak/>
        <w:t>External Provision (Option 2)</w:t>
      </w:r>
      <w:r w:rsidRPr="00783603">
        <w:t xml:space="preserve">: The system </w:t>
      </w:r>
      <w:proofErr w:type="gramStart"/>
      <w:r w:rsidRPr="00783603">
        <w:t>shall</w:t>
      </w:r>
      <w:proofErr w:type="gramEnd"/>
      <w:r w:rsidRPr="00783603">
        <w:t xml:space="preserve"> be designed to allow for a future reactor enclosure to be installed adjacent to the capacitor bank. The manufacturer shall provide appropriately rated bushings and pre-engineered cable routing paths to interconnect the capacitor stages with the future reactor cabinet</w:t>
      </w:r>
    </w:p>
    <w:p w14:paraId="2D9C5A9C" w14:textId="231F579A" w:rsidR="00D14A9F" w:rsidRPr="00F2124C" w:rsidRDefault="00D63848" w:rsidP="00EA3548">
      <w:pPr>
        <w:pStyle w:val="Heading2"/>
      </w:pPr>
      <w:r w:rsidRPr="00D63848">
        <w:rPr>
          <w:b/>
        </w:rPr>
        <w:t>Ratings and Capacity</w:t>
      </w:r>
      <w:r w:rsidR="00E82E1A">
        <w:rPr>
          <w:b/>
        </w:rPr>
        <w:br/>
      </w:r>
      <w:r w:rsidR="00EA3548" w:rsidRPr="00EA3548">
        <w:t xml:space="preserve">The </w:t>
      </w:r>
      <w:r w:rsidR="00A30178">
        <w:t>capacitor bank</w:t>
      </w:r>
      <w:r w:rsidR="00EA3548" w:rsidRPr="00EA3548">
        <w:t xml:space="preserve"> shall provide a total </w:t>
      </w:r>
      <w:r w:rsidR="00EA3548" w:rsidRPr="00F2124C">
        <w:t>output of ______ kvar at ______ kV. The total capacity shall be divided into ______ switching steps of ______ kvar each.</w:t>
      </w:r>
      <w:r w:rsidR="00F74055">
        <w:t xml:space="preserve"> The capacitor bank shall have specific </w:t>
      </w:r>
      <w:proofErr w:type="gramStart"/>
      <w:r w:rsidR="00F74055">
        <w:t>stages size</w:t>
      </w:r>
      <w:r w:rsidR="00B23DB7">
        <w:t>d</w:t>
      </w:r>
      <w:proofErr w:type="gramEnd"/>
      <w:r w:rsidR="00F74055">
        <w:t xml:space="preserve"> as follows:</w:t>
      </w:r>
      <w:r w:rsidR="00F74055">
        <w:br/>
      </w:r>
    </w:p>
    <w:tbl>
      <w:tblPr>
        <w:tblStyle w:val="TableGri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2430"/>
      </w:tblGrid>
      <w:tr w:rsidR="00D14A9F" w14:paraId="4A851669" w14:textId="77777777" w:rsidTr="000767D9">
        <w:tc>
          <w:tcPr>
            <w:tcW w:w="1525" w:type="dxa"/>
          </w:tcPr>
          <w:p w14:paraId="6D72063B" w14:textId="77777777" w:rsidR="00B23DB7" w:rsidRDefault="00B23DB7" w:rsidP="00E51295">
            <w:pPr>
              <w:pStyle w:val="Heading2"/>
              <w:numPr>
                <w:ilvl w:val="0"/>
                <w:numId w:val="0"/>
              </w:numPr>
              <w:spacing w:before="0"/>
              <w:jc w:val="center"/>
            </w:pPr>
          </w:p>
          <w:p w14:paraId="5F79C38A" w14:textId="4A65ED22" w:rsidR="00D14A9F" w:rsidRDefault="00D14A9F" w:rsidP="00E51295">
            <w:pPr>
              <w:pStyle w:val="Heading2"/>
              <w:numPr>
                <w:ilvl w:val="0"/>
                <w:numId w:val="0"/>
              </w:numPr>
              <w:spacing w:before="0"/>
              <w:jc w:val="center"/>
            </w:pPr>
            <w:r>
              <w:t>Stage #</w:t>
            </w:r>
          </w:p>
        </w:tc>
        <w:tc>
          <w:tcPr>
            <w:tcW w:w="2430" w:type="dxa"/>
          </w:tcPr>
          <w:p w14:paraId="5D4F693C" w14:textId="49C4210B" w:rsidR="00E51295" w:rsidRPr="00E51295" w:rsidRDefault="00E51295" w:rsidP="00E51295">
            <w:pPr>
              <w:pStyle w:val="Heading2"/>
              <w:numPr>
                <w:ilvl w:val="0"/>
                <w:numId w:val="0"/>
              </w:numPr>
              <w:spacing w:before="0"/>
              <w:jc w:val="center"/>
            </w:pPr>
            <w:r>
              <w:t>Reactive Power Rating</w:t>
            </w:r>
            <w:r w:rsidR="00B23DB7">
              <w:t xml:space="preserve"> </w:t>
            </w:r>
            <w:r w:rsidR="00B23DB7">
              <w:br/>
              <w:t>(kvar 3-phase)</w:t>
            </w:r>
          </w:p>
        </w:tc>
      </w:tr>
      <w:tr w:rsidR="00E51295" w14:paraId="487AAA9B" w14:textId="77777777" w:rsidTr="000767D9">
        <w:tc>
          <w:tcPr>
            <w:tcW w:w="1525" w:type="dxa"/>
          </w:tcPr>
          <w:p w14:paraId="251490E9" w14:textId="4FE6159F" w:rsidR="00E51295" w:rsidRDefault="00E51295" w:rsidP="00E51295">
            <w:pPr>
              <w:pStyle w:val="Heading2"/>
              <w:numPr>
                <w:ilvl w:val="0"/>
                <w:numId w:val="0"/>
              </w:numPr>
              <w:spacing w:before="0"/>
              <w:jc w:val="center"/>
            </w:pPr>
            <w:r>
              <w:t>1</w:t>
            </w:r>
          </w:p>
        </w:tc>
        <w:tc>
          <w:tcPr>
            <w:tcW w:w="2430" w:type="dxa"/>
          </w:tcPr>
          <w:p w14:paraId="2107EF79" w14:textId="36B21B16" w:rsidR="00E51295" w:rsidRDefault="00E51295" w:rsidP="00E51295">
            <w:pPr>
              <w:pStyle w:val="Heading2"/>
              <w:numPr>
                <w:ilvl w:val="0"/>
                <w:numId w:val="0"/>
              </w:numPr>
              <w:spacing w:before="0"/>
              <w:jc w:val="center"/>
            </w:pPr>
            <w:r>
              <w:t>________________</w:t>
            </w:r>
          </w:p>
        </w:tc>
      </w:tr>
      <w:tr w:rsidR="00E51295" w14:paraId="68A2FC0D" w14:textId="77777777" w:rsidTr="000767D9">
        <w:tc>
          <w:tcPr>
            <w:tcW w:w="1525" w:type="dxa"/>
          </w:tcPr>
          <w:p w14:paraId="7B4B53A5" w14:textId="48D84862" w:rsidR="00E51295" w:rsidRDefault="00E51295" w:rsidP="00E51295">
            <w:pPr>
              <w:pStyle w:val="Heading2"/>
              <w:numPr>
                <w:ilvl w:val="0"/>
                <w:numId w:val="0"/>
              </w:numPr>
              <w:spacing w:before="0"/>
              <w:jc w:val="center"/>
            </w:pPr>
            <w:r>
              <w:t>2</w:t>
            </w:r>
          </w:p>
        </w:tc>
        <w:tc>
          <w:tcPr>
            <w:tcW w:w="2430" w:type="dxa"/>
          </w:tcPr>
          <w:p w14:paraId="13D4E006" w14:textId="504DE44D" w:rsidR="00E51295" w:rsidRDefault="00E51295" w:rsidP="00E51295">
            <w:pPr>
              <w:pStyle w:val="Heading2"/>
              <w:numPr>
                <w:ilvl w:val="0"/>
                <w:numId w:val="0"/>
              </w:numPr>
              <w:spacing w:before="0"/>
              <w:jc w:val="center"/>
            </w:pPr>
            <w:r>
              <w:t>________________</w:t>
            </w:r>
          </w:p>
        </w:tc>
      </w:tr>
      <w:tr w:rsidR="00E51295" w14:paraId="508CD28B" w14:textId="77777777" w:rsidTr="000767D9">
        <w:tc>
          <w:tcPr>
            <w:tcW w:w="1525" w:type="dxa"/>
          </w:tcPr>
          <w:p w14:paraId="4369625F" w14:textId="2C5DA65A" w:rsidR="00E51295" w:rsidRDefault="00E51295" w:rsidP="00E51295">
            <w:pPr>
              <w:pStyle w:val="Heading2"/>
              <w:numPr>
                <w:ilvl w:val="0"/>
                <w:numId w:val="0"/>
              </w:numPr>
              <w:spacing w:before="0"/>
              <w:jc w:val="center"/>
            </w:pPr>
            <w:r>
              <w:t>3</w:t>
            </w:r>
          </w:p>
        </w:tc>
        <w:tc>
          <w:tcPr>
            <w:tcW w:w="2430" w:type="dxa"/>
          </w:tcPr>
          <w:p w14:paraId="3CEFA4AA" w14:textId="2AD8F072" w:rsidR="00E51295" w:rsidRDefault="00E51295" w:rsidP="00E51295">
            <w:pPr>
              <w:pStyle w:val="Heading2"/>
              <w:numPr>
                <w:ilvl w:val="0"/>
                <w:numId w:val="0"/>
              </w:numPr>
              <w:spacing w:before="0"/>
              <w:jc w:val="center"/>
            </w:pPr>
            <w:r>
              <w:t>________________</w:t>
            </w:r>
          </w:p>
        </w:tc>
      </w:tr>
      <w:tr w:rsidR="00E51295" w14:paraId="34A14917" w14:textId="77777777" w:rsidTr="000767D9">
        <w:tc>
          <w:tcPr>
            <w:tcW w:w="1525" w:type="dxa"/>
          </w:tcPr>
          <w:p w14:paraId="6E34409C" w14:textId="1FC3A0DD" w:rsidR="00E51295" w:rsidRDefault="00E51295" w:rsidP="00E51295">
            <w:pPr>
              <w:pStyle w:val="Heading2"/>
              <w:numPr>
                <w:ilvl w:val="0"/>
                <w:numId w:val="0"/>
              </w:numPr>
              <w:spacing w:before="0"/>
              <w:jc w:val="center"/>
            </w:pPr>
            <w:r>
              <w:t>4</w:t>
            </w:r>
          </w:p>
        </w:tc>
        <w:tc>
          <w:tcPr>
            <w:tcW w:w="2430" w:type="dxa"/>
          </w:tcPr>
          <w:p w14:paraId="659F8AEB" w14:textId="62105829" w:rsidR="00E51295" w:rsidRDefault="00E51295" w:rsidP="00E51295">
            <w:pPr>
              <w:pStyle w:val="Heading2"/>
              <w:numPr>
                <w:ilvl w:val="0"/>
                <w:numId w:val="0"/>
              </w:numPr>
              <w:spacing w:before="0"/>
              <w:jc w:val="center"/>
            </w:pPr>
            <w:r>
              <w:t>________________</w:t>
            </w:r>
          </w:p>
        </w:tc>
      </w:tr>
      <w:tr w:rsidR="00E51295" w14:paraId="118C56AE" w14:textId="77777777" w:rsidTr="000767D9">
        <w:tc>
          <w:tcPr>
            <w:tcW w:w="1525" w:type="dxa"/>
          </w:tcPr>
          <w:p w14:paraId="4DE2E6DD" w14:textId="2EFF13C8" w:rsidR="00E51295" w:rsidRDefault="00E51295" w:rsidP="00E51295">
            <w:pPr>
              <w:pStyle w:val="Heading2"/>
              <w:numPr>
                <w:ilvl w:val="0"/>
                <w:numId w:val="0"/>
              </w:numPr>
              <w:spacing w:before="0"/>
              <w:jc w:val="center"/>
            </w:pPr>
            <w:r>
              <w:t>5</w:t>
            </w:r>
          </w:p>
        </w:tc>
        <w:tc>
          <w:tcPr>
            <w:tcW w:w="2430" w:type="dxa"/>
          </w:tcPr>
          <w:p w14:paraId="14BF7F89" w14:textId="1D1EF72D" w:rsidR="00E51295" w:rsidRDefault="00E51295" w:rsidP="00E51295">
            <w:pPr>
              <w:pStyle w:val="Heading2"/>
              <w:numPr>
                <w:ilvl w:val="0"/>
                <w:numId w:val="0"/>
              </w:numPr>
              <w:spacing w:before="0"/>
              <w:jc w:val="center"/>
            </w:pPr>
            <w:r>
              <w:t>________________</w:t>
            </w:r>
          </w:p>
        </w:tc>
      </w:tr>
      <w:tr w:rsidR="00E51295" w14:paraId="53D1A20E" w14:textId="77777777" w:rsidTr="000767D9">
        <w:trPr>
          <w:trHeight w:val="50"/>
        </w:trPr>
        <w:tc>
          <w:tcPr>
            <w:tcW w:w="1525" w:type="dxa"/>
          </w:tcPr>
          <w:p w14:paraId="2F178877" w14:textId="2C42DA6A" w:rsidR="00E51295" w:rsidRDefault="00E51295" w:rsidP="00E51295">
            <w:pPr>
              <w:pStyle w:val="Heading2"/>
              <w:numPr>
                <w:ilvl w:val="0"/>
                <w:numId w:val="0"/>
              </w:numPr>
              <w:spacing w:before="0"/>
              <w:jc w:val="center"/>
            </w:pPr>
            <w:r>
              <w:t>6</w:t>
            </w:r>
          </w:p>
        </w:tc>
        <w:tc>
          <w:tcPr>
            <w:tcW w:w="2430" w:type="dxa"/>
          </w:tcPr>
          <w:p w14:paraId="34DB156C" w14:textId="41BF40E4" w:rsidR="00E51295" w:rsidRDefault="00E51295" w:rsidP="00E51295">
            <w:pPr>
              <w:pStyle w:val="Heading2"/>
              <w:numPr>
                <w:ilvl w:val="0"/>
                <w:numId w:val="0"/>
              </w:numPr>
              <w:spacing w:before="0"/>
              <w:jc w:val="center"/>
            </w:pPr>
            <w:r>
              <w:t>________________</w:t>
            </w:r>
          </w:p>
        </w:tc>
      </w:tr>
      <w:tr w:rsidR="000767D9" w14:paraId="6F5D2767" w14:textId="77777777" w:rsidTr="000767D9">
        <w:trPr>
          <w:trHeight w:val="50"/>
        </w:trPr>
        <w:tc>
          <w:tcPr>
            <w:tcW w:w="1525" w:type="dxa"/>
          </w:tcPr>
          <w:p w14:paraId="2B9E0062" w14:textId="63BD8304" w:rsidR="000767D9" w:rsidRDefault="000767D9" w:rsidP="000767D9">
            <w:pPr>
              <w:pStyle w:val="Heading2"/>
              <w:numPr>
                <w:ilvl w:val="0"/>
                <w:numId w:val="0"/>
              </w:numPr>
              <w:spacing w:before="0"/>
              <w:jc w:val="center"/>
            </w:pPr>
            <w:r>
              <w:t>7</w:t>
            </w:r>
          </w:p>
        </w:tc>
        <w:tc>
          <w:tcPr>
            <w:tcW w:w="2430" w:type="dxa"/>
          </w:tcPr>
          <w:p w14:paraId="67818877" w14:textId="695B8737" w:rsidR="000767D9" w:rsidRDefault="000767D9" w:rsidP="000767D9">
            <w:pPr>
              <w:pStyle w:val="Heading2"/>
              <w:numPr>
                <w:ilvl w:val="0"/>
                <w:numId w:val="0"/>
              </w:numPr>
              <w:spacing w:before="0"/>
              <w:jc w:val="center"/>
            </w:pPr>
            <w:r>
              <w:t>________________</w:t>
            </w:r>
          </w:p>
        </w:tc>
      </w:tr>
    </w:tbl>
    <w:p w14:paraId="370C1D70" w14:textId="33B714B7" w:rsidR="00EA3548" w:rsidRPr="00EA3548" w:rsidRDefault="00EA3548" w:rsidP="00F74055">
      <w:pPr>
        <w:pStyle w:val="11Head-Bullet"/>
        <w:numPr>
          <w:ilvl w:val="0"/>
          <w:numId w:val="0"/>
        </w:numPr>
        <w:ind w:left="450"/>
      </w:pPr>
    </w:p>
    <w:p w14:paraId="66D220F6" w14:textId="03B92A76" w:rsidR="00EA3548" w:rsidRDefault="00EA3548" w:rsidP="00EA3548">
      <w:pPr>
        <w:pStyle w:val="11Head-Bullet"/>
      </w:pPr>
      <w:r w:rsidRPr="00EA3548">
        <w:rPr>
          <w:b/>
          <w:bCs/>
        </w:rPr>
        <w:t>Automation:</w:t>
      </w:r>
      <w:r w:rsidRPr="00EA3548">
        <w:t xml:space="preserve"> The </w:t>
      </w:r>
      <w:r w:rsidR="00B824C7">
        <w:t xml:space="preserve">capacitor </w:t>
      </w:r>
      <w:r w:rsidRPr="00EA3548">
        <w:t xml:space="preserve">bank shall be automatically switched based on [Power Factor / Current / Voltage </w:t>
      </w:r>
      <w:proofErr w:type="gramStart"/>
      <w:r w:rsidRPr="00EA3548">
        <w:t>/  kVAR</w:t>
      </w:r>
      <w:proofErr w:type="gramEnd"/>
      <w:r w:rsidRPr="00EA3548">
        <w:t xml:space="preserve"> </w:t>
      </w:r>
      <w:proofErr w:type="gramStart"/>
      <w:r w:rsidRPr="00EA3548">
        <w:t xml:space="preserve">/  </w:t>
      </w:r>
      <w:r w:rsidR="00085444">
        <w:t>Remote</w:t>
      </w:r>
      <w:proofErr w:type="gramEnd"/>
      <w:r w:rsidR="00085444">
        <w:t xml:space="preserve"> </w:t>
      </w:r>
      <w:r w:rsidRPr="00EA3548">
        <w:t xml:space="preserve">SCADA </w:t>
      </w:r>
      <w:r w:rsidR="00085444">
        <w:t>or similar commun</w:t>
      </w:r>
      <w:r w:rsidR="00D95C07">
        <w:t>ication</w:t>
      </w:r>
      <w:r w:rsidRPr="00EA3548">
        <w:t>].</w:t>
      </w:r>
    </w:p>
    <w:p w14:paraId="30765D19" w14:textId="17236A22" w:rsidR="00143362" w:rsidRDefault="00143362" w:rsidP="00AE2EA9">
      <w:pPr>
        <w:pStyle w:val="Heading2"/>
        <w:rPr>
          <w:b/>
          <w:bCs/>
        </w:rPr>
      </w:pPr>
      <w:r w:rsidRPr="00353DC9">
        <w:rPr>
          <w:b/>
          <w:bCs/>
        </w:rPr>
        <w:t>P</w:t>
      </w:r>
      <w:r w:rsidR="00353DC9" w:rsidRPr="00353DC9">
        <w:rPr>
          <w:b/>
          <w:bCs/>
        </w:rPr>
        <w:t>erformance and Operational Requirements</w:t>
      </w:r>
    </w:p>
    <w:p w14:paraId="1AE131FF" w14:textId="77777777" w:rsidR="00D02B06" w:rsidRPr="0063520B" w:rsidRDefault="00D02B06" w:rsidP="00D02B06">
      <w:pPr>
        <w:pStyle w:val="Heading3"/>
        <w:rPr>
          <w:b/>
          <w:bCs/>
        </w:rPr>
      </w:pPr>
      <w:r w:rsidRPr="0063520B">
        <w:rPr>
          <w:b/>
          <w:bCs/>
        </w:rPr>
        <w:t xml:space="preserve">Reactive Power (kVAR) Output </w:t>
      </w:r>
    </w:p>
    <w:p w14:paraId="4C47C68C" w14:textId="77777777" w:rsidR="00D02B06" w:rsidRPr="00143362" w:rsidRDefault="00D02B06" w:rsidP="00510113">
      <w:pPr>
        <w:pStyle w:val="11Head-Bullet"/>
        <w:numPr>
          <w:ilvl w:val="1"/>
          <w:numId w:val="5"/>
        </w:numPr>
      </w:pPr>
      <w:r w:rsidRPr="006B2E51">
        <w:rPr>
          <w:b/>
          <w:bCs/>
        </w:rPr>
        <w:t>Net Capacity:</w:t>
      </w:r>
      <w:r w:rsidRPr="00143362">
        <w:t xml:space="preserve"> The manufacturer shall guarantee the total net three-phase reactive power output (kVAR) at the nominal system voltage.</w:t>
      </w:r>
    </w:p>
    <w:p w14:paraId="7898CA90" w14:textId="77777777" w:rsidR="00D02B06" w:rsidRDefault="00D02B06" w:rsidP="00510113">
      <w:pPr>
        <w:pStyle w:val="11Head-Bullet"/>
        <w:numPr>
          <w:ilvl w:val="1"/>
          <w:numId w:val="5"/>
        </w:numPr>
      </w:pPr>
      <w:r w:rsidRPr="006B2E51">
        <w:rPr>
          <w:b/>
          <w:bCs/>
        </w:rPr>
        <w:t>Tolerance:</w:t>
      </w:r>
      <w:r w:rsidRPr="00143362">
        <w:t xml:space="preserve"> The actual kvar output of the fully assembled bank shall be within +1</w:t>
      </w:r>
      <w:r>
        <w:t>0</w:t>
      </w:r>
      <w:r w:rsidRPr="00143362">
        <w:t xml:space="preserve">% / -0% of the rated value </w:t>
      </w:r>
      <w:r>
        <w:t xml:space="preserve">at rated voltage </w:t>
      </w:r>
      <w:r w:rsidRPr="00143362">
        <w:t>in accordance with IEEE Std 18.</w:t>
      </w:r>
    </w:p>
    <w:p w14:paraId="47DE466C" w14:textId="5BF5F51D" w:rsidR="00143362" w:rsidRPr="00353DC9" w:rsidRDefault="00143362" w:rsidP="00154DC8">
      <w:pPr>
        <w:pStyle w:val="Heading3"/>
        <w:rPr>
          <w:b/>
          <w:bCs/>
        </w:rPr>
      </w:pPr>
      <w:r w:rsidRPr="00353DC9">
        <w:rPr>
          <w:b/>
          <w:bCs/>
        </w:rPr>
        <w:t>Displacement Power Factor (DPF) Guarantee</w:t>
      </w:r>
    </w:p>
    <w:p w14:paraId="35407BDF" w14:textId="6B544615" w:rsidR="00143362" w:rsidRPr="00143362" w:rsidRDefault="00143362" w:rsidP="00510113">
      <w:pPr>
        <w:pStyle w:val="11Head-Bullet"/>
        <w:numPr>
          <w:ilvl w:val="1"/>
          <w:numId w:val="5"/>
        </w:numPr>
      </w:pPr>
      <w:r w:rsidRPr="00353DC9">
        <w:rPr>
          <w:b/>
          <w:bCs/>
        </w:rPr>
        <w:t>Target Correction:</w:t>
      </w:r>
      <w:r w:rsidRPr="00143362">
        <w:t xml:space="preserve"> The capacitor bank shall be designed and guaranteed to maintain a target displacement power factor of [0.95 / 0.98 / 1.0] at the Point of Common Coupling (PCC) under </w:t>
      </w:r>
      <w:r w:rsidR="00246F68">
        <w:t xml:space="preserve">maximum </w:t>
      </w:r>
      <w:r w:rsidRPr="00143362">
        <w:t>load conditions</w:t>
      </w:r>
      <w:r w:rsidR="00246F68">
        <w:t xml:space="preserve"> </w:t>
      </w:r>
      <w:r w:rsidR="00D25814">
        <w:t xml:space="preserve">of [ enter </w:t>
      </w:r>
      <w:proofErr w:type="gramStart"/>
      <w:r w:rsidR="00D25814">
        <w:t>MVA ]</w:t>
      </w:r>
      <w:proofErr w:type="gramEnd"/>
      <w:r w:rsidR="000C58A1">
        <w:t xml:space="preserve"> and </w:t>
      </w:r>
      <w:proofErr w:type="gramStart"/>
      <w:r w:rsidR="00246F68">
        <w:t>[ enter</w:t>
      </w:r>
      <w:proofErr w:type="gramEnd"/>
      <w:r w:rsidR="00246F68">
        <w:t xml:space="preserve"> pf</w:t>
      </w:r>
      <w:r w:rsidR="00D25814">
        <w:t xml:space="preserve"> lagging]</w:t>
      </w:r>
      <w:r w:rsidR="008F4AD0">
        <w:t xml:space="preserve"> should automatic control become part of the control package.</w:t>
      </w:r>
    </w:p>
    <w:p w14:paraId="05DCDD4D" w14:textId="724EA349" w:rsidR="00143362" w:rsidRDefault="00143362" w:rsidP="00510113">
      <w:pPr>
        <w:pStyle w:val="11Head-Bullet"/>
        <w:numPr>
          <w:ilvl w:val="1"/>
          <w:numId w:val="5"/>
        </w:numPr>
      </w:pPr>
      <w:r w:rsidRPr="00353DC9">
        <w:rPr>
          <w:b/>
          <w:bCs/>
        </w:rPr>
        <w:t xml:space="preserve">Control Accuracy: </w:t>
      </w:r>
      <w:r w:rsidRPr="00143362">
        <w:t xml:space="preserve">The automatic controller shall be programmed to maintain the target power factor </w:t>
      </w:r>
      <w:r w:rsidR="00026574">
        <w:t>[enter power lead/lag].</w:t>
      </w:r>
    </w:p>
    <w:p w14:paraId="52B4FEFB" w14:textId="77777777" w:rsidR="00F5022F" w:rsidRDefault="00F5022F" w:rsidP="00F5022F">
      <w:pPr>
        <w:pStyle w:val="11Head-Bullet"/>
        <w:numPr>
          <w:ilvl w:val="0"/>
          <w:numId w:val="0"/>
        </w:numPr>
        <w:ind w:left="450" w:hanging="360"/>
      </w:pPr>
    </w:p>
    <w:p w14:paraId="76E5E354" w14:textId="77777777" w:rsidR="00F5022F" w:rsidRDefault="00F5022F" w:rsidP="00F5022F">
      <w:pPr>
        <w:pStyle w:val="11Head-Bullet"/>
        <w:numPr>
          <w:ilvl w:val="0"/>
          <w:numId w:val="0"/>
        </w:numPr>
        <w:ind w:left="450" w:hanging="360"/>
      </w:pPr>
    </w:p>
    <w:p w14:paraId="2D333B98" w14:textId="77777777" w:rsidR="00F5022F" w:rsidRDefault="00F5022F" w:rsidP="00F5022F">
      <w:pPr>
        <w:pStyle w:val="11Head-Bullet"/>
        <w:numPr>
          <w:ilvl w:val="0"/>
          <w:numId w:val="0"/>
        </w:numPr>
        <w:ind w:left="450" w:hanging="360"/>
      </w:pPr>
    </w:p>
    <w:p w14:paraId="1638DAEB" w14:textId="77777777" w:rsidR="00F5022F" w:rsidRDefault="00F5022F" w:rsidP="00F5022F">
      <w:pPr>
        <w:pStyle w:val="11Head-Bullet"/>
        <w:numPr>
          <w:ilvl w:val="0"/>
          <w:numId w:val="0"/>
        </w:numPr>
        <w:ind w:left="450" w:hanging="360"/>
      </w:pPr>
    </w:p>
    <w:p w14:paraId="28EF4DA1" w14:textId="77777777" w:rsidR="00F5022F" w:rsidRDefault="00F5022F" w:rsidP="00F5022F">
      <w:pPr>
        <w:pStyle w:val="11Head-Bullet"/>
        <w:numPr>
          <w:ilvl w:val="0"/>
          <w:numId w:val="0"/>
        </w:numPr>
        <w:ind w:left="450" w:hanging="360"/>
      </w:pPr>
    </w:p>
    <w:p w14:paraId="32EE6267" w14:textId="77777777" w:rsidR="00F5022F" w:rsidRDefault="00F5022F" w:rsidP="00F5022F">
      <w:pPr>
        <w:pStyle w:val="11Head-Bullet"/>
        <w:numPr>
          <w:ilvl w:val="0"/>
          <w:numId w:val="0"/>
        </w:numPr>
        <w:ind w:left="450" w:hanging="360"/>
      </w:pPr>
    </w:p>
    <w:p w14:paraId="3E064BB0" w14:textId="77777777" w:rsidR="00F5022F" w:rsidRDefault="00F5022F" w:rsidP="00F5022F">
      <w:pPr>
        <w:pStyle w:val="11Head-Bullet"/>
        <w:numPr>
          <w:ilvl w:val="0"/>
          <w:numId w:val="0"/>
        </w:numPr>
        <w:ind w:left="450" w:hanging="360"/>
      </w:pPr>
    </w:p>
    <w:p w14:paraId="16E2CAF8" w14:textId="77777777" w:rsidR="00F5022F" w:rsidRPr="00143362" w:rsidRDefault="00F5022F" w:rsidP="00F5022F">
      <w:pPr>
        <w:pStyle w:val="11Head-Bullet"/>
        <w:numPr>
          <w:ilvl w:val="0"/>
          <w:numId w:val="0"/>
        </w:numPr>
        <w:ind w:left="450" w:hanging="360"/>
      </w:pPr>
    </w:p>
    <w:p w14:paraId="412898DB" w14:textId="79C5C31D" w:rsidR="009F7D37" w:rsidRDefault="00A1283C" w:rsidP="005C7300">
      <w:pPr>
        <w:pStyle w:val="Heading2"/>
      </w:pPr>
      <w:r>
        <w:rPr>
          <w:b/>
        </w:rPr>
        <w:lastRenderedPageBreak/>
        <w:t>System Parameters</w:t>
      </w:r>
      <w:r>
        <w:rPr>
          <w:b/>
        </w:rPr>
        <w:br/>
      </w:r>
      <w:r w:rsidR="009E38B2" w:rsidRPr="009E38B2">
        <w:t>The equipment shall be designed for operation on a power system with the following characteristics:</w:t>
      </w:r>
      <w:r w:rsidR="007D53A7">
        <w:br/>
      </w:r>
    </w:p>
    <w:tbl>
      <w:tblPr>
        <w:tblW w:w="7065" w:type="dxa"/>
        <w:tblCellSpacing w:w="15" w:type="dxa"/>
        <w:tblInd w:w="180" w:type="dxa"/>
        <w:tblCellMar>
          <w:top w:w="15" w:type="dxa"/>
          <w:left w:w="15" w:type="dxa"/>
          <w:bottom w:w="15" w:type="dxa"/>
          <w:right w:w="15" w:type="dxa"/>
        </w:tblCellMar>
        <w:tblLook w:val="06A0" w:firstRow="1" w:lastRow="0" w:firstColumn="1" w:lastColumn="0" w:noHBand="1" w:noVBand="1"/>
      </w:tblPr>
      <w:tblGrid>
        <w:gridCol w:w="4905"/>
        <w:gridCol w:w="2160"/>
      </w:tblGrid>
      <w:tr w:rsidR="00E6794A" w:rsidRPr="009F7D37" w14:paraId="231B7064" w14:textId="77777777" w:rsidTr="00F64188">
        <w:trPr>
          <w:trHeight w:val="20"/>
          <w:tblHeader/>
          <w:tblCellSpacing w:w="15" w:type="dxa"/>
        </w:trPr>
        <w:tc>
          <w:tcPr>
            <w:tcW w:w="4860" w:type="dxa"/>
            <w:vAlign w:val="center"/>
            <w:hideMark/>
          </w:tcPr>
          <w:p w14:paraId="4D7CF0CF" w14:textId="77777777" w:rsidR="009F7D37" w:rsidRPr="00206FE1" w:rsidRDefault="009F7D37" w:rsidP="008C1A9B">
            <w:pPr>
              <w:rPr>
                <w:rFonts w:ascii="Aptos" w:hAnsi="Aptos"/>
                <w:b/>
                <w:bCs/>
                <w:sz w:val="20"/>
                <w:szCs w:val="20"/>
              </w:rPr>
            </w:pPr>
            <w:r w:rsidRPr="00206FE1">
              <w:rPr>
                <w:rFonts w:ascii="Aptos" w:hAnsi="Aptos"/>
                <w:b/>
                <w:bCs/>
                <w:sz w:val="20"/>
                <w:szCs w:val="20"/>
              </w:rPr>
              <w:t>Parameter</w:t>
            </w:r>
          </w:p>
        </w:tc>
        <w:tc>
          <w:tcPr>
            <w:tcW w:w="2115" w:type="dxa"/>
            <w:vAlign w:val="center"/>
            <w:hideMark/>
          </w:tcPr>
          <w:p w14:paraId="4D2F1A94" w14:textId="77777777" w:rsidR="009F7D37" w:rsidRPr="00206FE1" w:rsidRDefault="009F7D37" w:rsidP="00206FE1">
            <w:pPr>
              <w:rPr>
                <w:rFonts w:ascii="Aptos" w:hAnsi="Aptos"/>
                <w:b/>
                <w:bCs/>
                <w:sz w:val="20"/>
                <w:szCs w:val="20"/>
              </w:rPr>
            </w:pPr>
            <w:r w:rsidRPr="00206FE1">
              <w:rPr>
                <w:rFonts w:ascii="Aptos" w:hAnsi="Aptos"/>
                <w:b/>
                <w:bCs/>
                <w:sz w:val="20"/>
                <w:szCs w:val="20"/>
              </w:rPr>
              <w:t>Value</w:t>
            </w:r>
          </w:p>
        </w:tc>
      </w:tr>
      <w:tr w:rsidR="00E6794A" w:rsidRPr="009F7D37" w14:paraId="65CE2AD6" w14:textId="77777777" w:rsidTr="00F64188">
        <w:trPr>
          <w:trHeight w:val="20"/>
          <w:tblCellSpacing w:w="15" w:type="dxa"/>
        </w:trPr>
        <w:tc>
          <w:tcPr>
            <w:tcW w:w="4860" w:type="dxa"/>
            <w:vAlign w:val="center"/>
            <w:hideMark/>
          </w:tcPr>
          <w:p w14:paraId="6EB370E3" w14:textId="534DA24F" w:rsidR="009F7D37" w:rsidRPr="008C1A9B" w:rsidRDefault="009F7D37" w:rsidP="008C1A9B">
            <w:pPr>
              <w:rPr>
                <w:rFonts w:ascii="Aptos" w:hAnsi="Aptos"/>
                <w:sz w:val="20"/>
                <w:szCs w:val="20"/>
              </w:rPr>
            </w:pPr>
            <w:r w:rsidRPr="008C1A9B">
              <w:rPr>
                <w:rFonts w:ascii="Aptos" w:hAnsi="Aptos"/>
                <w:sz w:val="20"/>
                <w:szCs w:val="20"/>
              </w:rPr>
              <w:t>Nominal System Voltage (kV)</w:t>
            </w:r>
          </w:p>
        </w:tc>
        <w:tc>
          <w:tcPr>
            <w:tcW w:w="2115" w:type="dxa"/>
            <w:vAlign w:val="center"/>
            <w:hideMark/>
          </w:tcPr>
          <w:p w14:paraId="74FE9605" w14:textId="77777777" w:rsidR="009F7D37" w:rsidRPr="008C1A9B" w:rsidRDefault="009F7D37" w:rsidP="008C1A9B">
            <w:pPr>
              <w:rPr>
                <w:rFonts w:ascii="Aptos" w:hAnsi="Aptos"/>
                <w:sz w:val="20"/>
                <w:szCs w:val="20"/>
              </w:rPr>
            </w:pPr>
            <w:r w:rsidRPr="008C1A9B">
              <w:rPr>
                <w:rFonts w:ascii="Aptos" w:hAnsi="Aptos"/>
                <w:sz w:val="20"/>
                <w:szCs w:val="20"/>
              </w:rPr>
              <w:t>____________</w:t>
            </w:r>
          </w:p>
        </w:tc>
      </w:tr>
      <w:tr w:rsidR="00E6794A" w:rsidRPr="009F7D37" w14:paraId="6FBD8FAD" w14:textId="77777777" w:rsidTr="00F64188">
        <w:trPr>
          <w:trHeight w:val="20"/>
          <w:tblCellSpacing w:w="15" w:type="dxa"/>
        </w:trPr>
        <w:tc>
          <w:tcPr>
            <w:tcW w:w="4860" w:type="dxa"/>
            <w:vAlign w:val="center"/>
            <w:hideMark/>
          </w:tcPr>
          <w:p w14:paraId="314E38AC" w14:textId="336BA5F2" w:rsidR="009F7D37" w:rsidRPr="008C1A9B" w:rsidRDefault="009F7D37" w:rsidP="008C1A9B">
            <w:pPr>
              <w:rPr>
                <w:rFonts w:ascii="Aptos" w:hAnsi="Aptos"/>
                <w:sz w:val="20"/>
                <w:szCs w:val="20"/>
              </w:rPr>
            </w:pPr>
            <w:r w:rsidRPr="008C1A9B">
              <w:rPr>
                <w:rFonts w:ascii="Aptos" w:hAnsi="Aptos"/>
                <w:sz w:val="20"/>
                <w:szCs w:val="20"/>
              </w:rPr>
              <w:t>Maximum System Voltage (kV)</w:t>
            </w:r>
          </w:p>
        </w:tc>
        <w:tc>
          <w:tcPr>
            <w:tcW w:w="2115" w:type="dxa"/>
            <w:vAlign w:val="center"/>
            <w:hideMark/>
          </w:tcPr>
          <w:p w14:paraId="20E0EBAA" w14:textId="77777777" w:rsidR="009F7D37" w:rsidRPr="008C1A9B" w:rsidRDefault="009F7D37" w:rsidP="008C1A9B">
            <w:pPr>
              <w:rPr>
                <w:rFonts w:ascii="Aptos" w:hAnsi="Aptos"/>
                <w:sz w:val="20"/>
                <w:szCs w:val="20"/>
              </w:rPr>
            </w:pPr>
            <w:r w:rsidRPr="008C1A9B">
              <w:rPr>
                <w:rFonts w:ascii="Aptos" w:hAnsi="Aptos"/>
                <w:sz w:val="20"/>
                <w:szCs w:val="20"/>
              </w:rPr>
              <w:t>____________</w:t>
            </w:r>
          </w:p>
        </w:tc>
      </w:tr>
      <w:tr w:rsidR="00E6794A" w:rsidRPr="009F7D37" w14:paraId="179A421A" w14:textId="77777777" w:rsidTr="00F64188">
        <w:trPr>
          <w:trHeight w:val="20"/>
          <w:tblCellSpacing w:w="15" w:type="dxa"/>
        </w:trPr>
        <w:tc>
          <w:tcPr>
            <w:tcW w:w="4860" w:type="dxa"/>
            <w:vAlign w:val="center"/>
            <w:hideMark/>
          </w:tcPr>
          <w:p w14:paraId="563DE585" w14:textId="47D9A49B" w:rsidR="009F7D37" w:rsidRPr="008C1A9B" w:rsidRDefault="009F7D37" w:rsidP="008C1A9B">
            <w:pPr>
              <w:rPr>
                <w:rFonts w:ascii="Aptos" w:hAnsi="Aptos"/>
                <w:sz w:val="20"/>
                <w:szCs w:val="20"/>
              </w:rPr>
            </w:pPr>
            <w:r w:rsidRPr="008C1A9B">
              <w:rPr>
                <w:rFonts w:ascii="Aptos" w:hAnsi="Aptos"/>
                <w:sz w:val="20"/>
                <w:szCs w:val="20"/>
              </w:rPr>
              <w:t xml:space="preserve">Basic Insulation Level </w:t>
            </w:r>
            <w:r w:rsidR="007B3C88" w:rsidRPr="008C1A9B">
              <w:rPr>
                <w:rFonts w:ascii="Aptos" w:hAnsi="Aptos"/>
                <w:sz w:val="20"/>
                <w:szCs w:val="20"/>
              </w:rPr>
              <w:t>(</w:t>
            </w:r>
            <w:r w:rsidRPr="008C1A9B">
              <w:rPr>
                <w:rFonts w:ascii="Aptos" w:hAnsi="Aptos"/>
                <w:sz w:val="20"/>
                <w:szCs w:val="20"/>
              </w:rPr>
              <w:t>kV)</w:t>
            </w:r>
          </w:p>
        </w:tc>
        <w:tc>
          <w:tcPr>
            <w:tcW w:w="2115" w:type="dxa"/>
            <w:vAlign w:val="center"/>
            <w:hideMark/>
          </w:tcPr>
          <w:p w14:paraId="1F9AFAF5" w14:textId="77777777" w:rsidR="009F7D37" w:rsidRPr="008C1A9B" w:rsidRDefault="009F7D37" w:rsidP="008C1A9B">
            <w:pPr>
              <w:rPr>
                <w:rFonts w:ascii="Aptos" w:hAnsi="Aptos"/>
                <w:sz w:val="20"/>
                <w:szCs w:val="20"/>
              </w:rPr>
            </w:pPr>
            <w:r w:rsidRPr="008C1A9B">
              <w:rPr>
                <w:rFonts w:ascii="Aptos" w:hAnsi="Aptos"/>
                <w:sz w:val="20"/>
                <w:szCs w:val="20"/>
              </w:rPr>
              <w:t>____________</w:t>
            </w:r>
          </w:p>
        </w:tc>
      </w:tr>
      <w:tr w:rsidR="00E6794A" w:rsidRPr="009F7D37" w14:paraId="602D0135" w14:textId="77777777" w:rsidTr="00F64188">
        <w:trPr>
          <w:trHeight w:val="20"/>
          <w:tblCellSpacing w:w="15" w:type="dxa"/>
        </w:trPr>
        <w:tc>
          <w:tcPr>
            <w:tcW w:w="4860" w:type="dxa"/>
            <w:vAlign w:val="center"/>
            <w:hideMark/>
          </w:tcPr>
          <w:p w14:paraId="13E6A2A9" w14:textId="77777777" w:rsidR="009F7D37" w:rsidRPr="008C1A9B" w:rsidRDefault="009F7D37" w:rsidP="008C1A9B">
            <w:pPr>
              <w:rPr>
                <w:rFonts w:ascii="Aptos" w:hAnsi="Aptos"/>
                <w:sz w:val="20"/>
                <w:szCs w:val="20"/>
              </w:rPr>
            </w:pPr>
            <w:r w:rsidRPr="008C1A9B">
              <w:rPr>
                <w:rFonts w:ascii="Aptos" w:hAnsi="Aptos"/>
                <w:sz w:val="20"/>
                <w:szCs w:val="20"/>
              </w:rPr>
              <w:t>Three-Phase Short Circuit (RMS Sym. Amps)</w:t>
            </w:r>
          </w:p>
        </w:tc>
        <w:tc>
          <w:tcPr>
            <w:tcW w:w="2115" w:type="dxa"/>
            <w:vAlign w:val="center"/>
            <w:hideMark/>
          </w:tcPr>
          <w:p w14:paraId="11FADE40" w14:textId="77777777" w:rsidR="009F7D37" w:rsidRPr="008C1A9B" w:rsidRDefault="009F7D37" w:rsidP="008C1A9B">
            <w:pPr>
              <w:rPr>
                <w:rFonts w:ascii="Aptos" w:hAnsi="Aptos"/>
                <w:sz w:val="20"/>
                <w:szCs w:val="20"/>
              </w:rPr>
            </w:pPr>
            <w:r w:rsidRPr="008C1A9B">
              <w:rPr>
                <w:rFonts w:ascii="Aptos" w:hAnsi="Aptos"/>
                <w:sz w:val="20"/>
                <w:szCs w:val="20"/>
              </w:rPr>
              <w:t>____________</w:t>
            </w:r>
          </w:p>
        </w:tc>
      </w:tr>
      <w:tr w:rsidR="00E6794A" w:rsidRPr="009F7D37" w14:paraId="4A022BD7" w14:textId="77777777" w:rsidTr="00F64188">
        <w:trPr>
          <w:trHeight w:val="20"/>
          <w:tblCellSpacing w:w="15" w:type="dxa"/>
        </w:trPr>
        <w:tc>
          <w:tcPr>
            <w:tcW w:w="4860" w:type="dxa"/>
            <w:vAlign w:val="center"/>
            <w:hideMark/>
          </w:tcPr>
          <w:p w14:paraId="399444CB" w14:textId="77777777" w:rsidR="009F7D37" w:rsidRPr="008C1A9B" w:rsidRDefault="009F7D37" w:rsidP="008C1A9B">
            <w:pPr>
              <w:rPr>
                <w:rFonts w:ascii="Aptos" w:hAnsi="Aptos"/>
                <w:sz w:val="20"/>
                <w:szCs w:val="20"/>
              </w:rPr>
            </w:pPr>
            <w:r w:rsidRPr="008C1A9B">
              <w:rPr>
                <w:rFonts w:ascii="Aptos" w:hAnsi="Aptos"/>
                <w:sz w:val="20"/>
                <w:szCs w:val="20"/>
              </w:rPr>
              <w:t>Line-to-Ground Short Circuit (RMS Sym. Amps)</w:t>
            </w:r>
          </w:p>
        </w:tc>
        <w:tc>
          <w:tcPr>
            <w:tcW w:w="2115" w:type="dxa"/>
            <w:vAlign w:val="center"/>
            <w:hideMark/>
          </w:tcPr>
          <w:p w14:paraId="081FE0DD" w14:textId="77777777" w:rsidR="009F7D37" w:rsidRPr="008C1A9B" w:rsidRDefault="009F7D37" w:rsidP="008C1A9B">
            <w:pPr>
              <w:rPr>
                <w:rFonts w:ascii="Aptos" w:hAnsi="Aptos"/>
                <w:sz w:val="20"/>
                <w:szCs w:val="20"/>
              </w:rPr>
            </w:pPr>
            <w:r w:rsidRPr="008C1A9B">
              <w:rPr>
                <w:rFonts w:ascii="Aptos" w:hAnsi="Aptos"/>
                <w:sz w:val="20"/>
                <w:szCs w:val="20"/>
              </w:rPr>
              <w:t>____________</w:t>
            </w:r>
          </w:p>
        </w:tc>
      </w:tr>
    </w:tbl>
    <w:p w14:paraId="35205F3F" w14:textId="2C7510CB" w:rsidR="00C01E6B" w:rsidRDefault="005804FE" w:rsidP="005C7300">
      <w:pPr>
        <w:pStyle w:val="Heading2"/>
      </w:pPr>
      <w:r w:rsidRPr="005804FE">
        <w:rPr>
          <w:b/>
        </w:rPr>
        <w:t>Environmental Design Criteria</w:t>
      </w:r>
      <w:r>
        <w:rPr>
          <w:b/>
        </w:rPr>
        <w:br/>
      </w:r>
      <w:r w:rsidRPr="005804FE">
        <w:t>The equipment shall be designed for continuous outdoor operation under the following ambient conditions:</w:t>
      </w:r>
      <w:r w:rsidR="002E0ED2">
        <w:br/>
      </w:r>
    </w:p>
    <w:tbl>
      <w:tblPr>
        <w:tblW w:w="7295" w:type="dxa"/>
        <w:tblCellSpacing w:w="15" w:type="dxa"/>
        <w:tblInd w:w="180" w:type="dxa"/>
        <w:tblCellMar>
          <w:top w:w="15" w:type="dxa"/>
          <w:left w:w="15" w:type="dxa"/>
          <w:bottom w:w="15" w:type="dxa"/>
          <w:right w:w="15" w:type="dxa"/>
        </w:tblCellMar>
        <w:tblLook w:val="06A0" w:firstRow="1" w:lastRow="0" w:firstColumn="1" w:lastColumn="0" w:noHBand="1" w:noVBand="1"/>
      </w:tblPr>
      <w:tblGrid>
        <w:gridCol w:w="3870"/>
        <w:gridCol w:w="1710"/>
        <w:gridCol w:w="1715"/>
      </w:tblGrid>
      <w:tr w:rsidR="00CB2001" w:rsidRPr="008C1A9B" w14:paraId="42387407" w14:textId="47D11207" w:rsidTr="006562FE">
        <w:trPr>
          <w:trHeight w:val="20"/>
          <w:tblHeader/>
          <w:tblCellSpacing w:w="15" w:type="dxa"/>
        </w:trPr>
        <w:tc>
          <w:tcPr>
            <w:tcW w:w="3825" w:type="dxa"/>
            <w:vAlign w:val="center"/>
            <w:hideMark/>
          </w:tcPr>
          <w:p w14:paraId="70FF6B4F" w14:textId="5D75312C" w:rsidR="00CB2001" w:rsidRPr="006562FE" w:rsidRDefault="00CB2001" w:rsidP="006562FE">
            <w:pPr>
              <w:rPr>
                <w:rFonts w:ascii="Aptos" w:hAnsi="Aptos"/>
                <w:sz w:val="20"/>
                <w:szCs w:val="20"/>
              </w:rPr>
            </w:pPr>
            <w:r w:rsidRPr="006562FE">
              <w:rPr>
                <w:rFonts w:ascii="Aptos" w:hAnsi="Aptos"/>
                <w:sz w:val="20"/>
                <w:szCs w:val="20"/>
              </w:rPr>
              <w:t>Ambient Condition</w:t>
            </w:r>
          </w:p>
        </w:tc>
        <w:tc>
          <w:tcPr>
            <w:tcW w:w="1680" w:type="dxa"/>
            <w:vAlign w:val="center"/>
            <w:hideMark/>
          </w:tcPr>
          <w:p w14:paraId="11C4B3F5" w14:textId="4F8835DD" w:rsidR="00CB2001" w:rsidRPr="008C1A9B" w:rsidRDefault="00411C92" w:rsidP="008C1A9B">
            <w:pPr>
              <w:rPr>
                <w:rFonts w:ascii="Aptos" w:hAnsi="Aptos"/>
                <w:sz w:val="20"/>
                <w:szCs w:val="20"/>
              </w:rPr>
            </w:pPr>
            <w:r w:rsidRPr="008C1A9B">
              <w:rPr>
                <w:rFonts w:ascii="Aptos" w:hAnsi="Aptos"/>
                <w:sz w:val="20"/>
                <w:szCs w:val="20"/>
              </w:rPr>
              <w:t>Minimum</w:t>
            </w:r>
          </w:p>
        </w:tc>
        <w:tc>
          <w:tcPr>
            <w:tcW w:w="1670" w:type="dxa"/>
          </w:tcPr>
          <w:p w14:paraId="3AAD7CF8" w14:textId="482B987B" w:rsidR="00CB2001" w:rsidRPr="008C1A9B" w:rsidRDefault="00D26F05" w:rsidP="008C1A9B">
            <w:pPr>
              <w:rPr>
                <w:rFonts w:ascii="Aptos" w:hAnsi="Aptos"/>
                <w:sz w:val="20"/>
                <w:szCs w:val="20"/>
              </w:rPr>
            </w:pPr>
            <w:r w:rsidRPr="008C1A9B">
              <w:rPr>
                <w:rFonts w:ascii="Aptos" w:hAnsi="Aptos"/>
                <w:sz w:val="20"/>
                <w:szCs w:val="20"/>
              </w:rPr>
              <w:t xml:space="preserve">Maximum </w:t>
            </w:r>
          </w:p>
        </w:tc>
      </w:tr>
      <w:tr w:rsidR="00CB2001" w:rsidRPr="008C1A9B" w14:paraId="767331E5" w14:textId="5E379F94" w:rsidTr="006562FE">
        <w:trPr>
          <w:trHeight w:val="20"/>
          <w:tblCellSpacing w:w="15" w:type="dxa"/>
        </w:trPr>
        <w:tc>
          <w:tcPr>
            <w:tcW w:w="3825" w:type="dxa"/>
            <w:vAlign w:val="center"/>
          </w:tcPr>
          <w:p w14:paraId="0AC808F6" w14:textId="59BD7C14" w:rsidR="00CB2001" w:rsidRPr="006562FE" w:rsidRDefault="00411C92" w:rsidP="006562FE">
            <w:pPr>
              <w:rPr>
                <w:rFonts w:ascii="Aptos" w:hAnsi="Aptos"/>
                <w:sz w:val="20"/>
                <w:szCs w:val="20"/>
              </w:rPr>
            </w:pPr>
            <w:r w:rsidRPr="006562FE">
              <w:rPr>
                <w:rFonts w:ascii="Aptos" w:hAnsi="Aptos"/>
                <w:sz w:val="20"/>
                <w:szCs w:val="20"/>
              </w:rPr>
              <w:t>Average Annual Temperature</w:t>
            </w:r>
            <w:r w:rsidR="00E83D72" w:rsidRPr="006562FE">
              <w:rPr>
                <w:rFonts w:ascii="Aptos" w:hAnsi="Aptos"/>
                <w:sz w:val="20"/>
                <w:szCs w:val="20"/>
              </w:rPr>
              <w:t xml:space="preserve"> (°C)</w:t>
            </w:r>
          </w:p>
        </w:tc>
        <w:tc>
          <w:tcPr>
            <w:tcW w:w="1680" w:type="dxa"/>
            <w:vAlign w:val="center"/>
            <w:hideMark/>
          </w:tcPr>
          <w:p w14:paraId="370C85BB" w14:textId="77777777" w:rsidR="00CB2001" w:rsidRPr="008C1A9B" w:rsidRDefault="00CB2001" w:rsidP="008C1A9B">
            <w:pPr>
              <w:rPr>
                <w:rFonts w:ascii="Aptos" w:hAnsi="Aptos"/>
                <w:sz w:val="20"/>
                <w:szCs w:val="20"/>
              </w:rPr>
            </w:pPr>
            <w:r w:rsidRPr="008C1A9B">
              <w:rPr>
                <w:rFonts w:ascii="Aptos" w:hAnsi="Aptos"/>
                <w:sz w:val="20"/>
                <w:szCs w:val="20"/>
              </w:rPr>
              <w:t>____________</w:t>
            </w:r>
          </w:p>
        </w:tc>
        <w:tc>
          <w:tcPr>
            <w:tcW w:w="1670" w:type="dxa"/>
          </w:tcPr>
          <w:p w14:paraId="16F1D2B3" w14:textId="039AD647" w:rsidR="00CB2001" w:rsidRPr="008C1A9B" w:rsidRDefault="00BF742F" w:rsidP="008C1A9B">
            <w:pPr>
              <w:rPr>
                <w:rFonts w:ascii="Aptos" w:hAnsi="Aptos"/>
                <w:sz w:val="20"/>
                <w:szCs w:val="20"/>
              </w:rPr>
            </w:pPr>
            <w:r w:rsidRPr="008C1A9B">
              <w:rPr>
                <w:rFonts w:ascii="Aptos" w:hAnsi="Aptos"/>
                <w:sz w:val="20"/>
                <w:szCs w:val="20"/>
              </w:rPr>
              <w:t>____________</w:t>
            </w:r>
          </w:p>
        </w:tc>
      </w:tr>
      <w:tr w:rsidR="00CB2001" w:rsidRPr="008C1A9B" w14:paraId="51357261" w14:textId="55221E86" w:rsidTr="006562FE">
        <w:trPr>
          <w:trHeight w:val="20"/>
          <w:tblCellSpacing w:w="15" w:type="dxa"/>
        </w:trPr>
        <w:tc>
          <w:tcPr>
            <w:tcW w:w="3825" w:type="dxa"/>
            <w:vAlign w:val="center"/>
            <w:hideMark/>
          </w:tcPr>
          <w:p w14:paraId="3C4E0BAA" w14:textId="288ECC28" w:rsidR="00CB2001" w:rsidRPr="006562FE" w:rsidRDefault="00411C92" w:rsidP="006562FE">
            <w:pPr>
              <w:rPr>
                <w:rFonts w:ascii="Aptos" w:hAnsi="Aptos"/>
                <w:sz w:val="20"/>
                <w:szCs w:val="20"/>
              </w:rPr>
            </w:pPr>
            <w:r w:rsidRPr="006562FE">
              <w:rPr>
                <w:rFonts w:ascii="Aptos" w:hAnsi="Aptos"/>
                <w:sz w:val="20"/>
                <w:szCs w:val="20"/>
              </w:rPr>
              <w:t>Design Temperature (Extreme)</w:t>
            </w:r>
            <w:r w:rsidR="00E83D72" w:rsidRPr="006562FE">
              <w:rPr>
                <w:rFonts w:ascii="Aptos" w:hAnsi="Aptos"/>
                <w:sz w:val="20"/>
                <w:szCs w:val="20"/>
              </w:rPr>
              <w:t xml:space="preserve"> (°C)</w:t>
            </w:r>
          </w:p>
        </w:tc>
        <w:tc>
          <w:tcPr>
            <w:tcW w:w="1680" w:type="dxa"/>
            <w:vAlign w:val="center"/>
            <w:hideMark/>
          </w:tcPr>
          <w:p w14:paraId="19223AC6" w14:textId="77777777" w:rsidR="00CB2001" w:rsidRPr="008C1A9B" w:rsidRDefault="00CB2001" w:rsidP="008C1A9B">
            <w:pPr>
              <w:rPr>
                <w:rFonts w:ascii="Aptos" w:hAnsi="Aptos"/>
                <w:sz w:val="20"/>
                <w:szCs w:val="20"/>
              </w:rPr>
            </w:pPr>
            <w:r w:rsidRPr="008C1A9B">
              <w:rPr>
                <w:rFonts w:ascii="Aptos" w:hAnsi="Aptos"/>
                <w:sz w:val="20"/>
                <w:szCs w:val="20"/>
              </w:rPr>
              <w:t>____________</w:t>
            </w:r>
          </w:p>
        </w:tc>
        <w:tc>
          <w:tcPr>
            <w:tcW w:w="1670" w:type="dxa"/>
          </w:tcPr>
          <w:p w14:paraId="18F9F018" w14:textId="661B2022" w:rsidR="00CB2001" w:rsidRPr="008C1A9B" w:rsidRDefault="00BF742F" w:rsidP="008C1A9B">
            <w:pPr>
              <w:rPr>
                <w:rFonts w:ascii="Aptos" w:hAnsi="Aptos"/>
                <w:sz w:val="20"/>
                <w:szCs w:val="20"/>
              </w:rPr>
            </w:pPr>
            <w:r w:rsidRPr="008C1A9B">
              <w:rPr>
                <w:rFonts w:ascii="Aptos" w:hAnsi="Aptos"/>
                <w:sz w:val="20"/>
                <w:szCs w:val="20"/>
              </w:rPr>
              <w:t>____________</w:t>
            </w:r>
          </w:p>
        </w:tc>
      </w:tr>
      <w:tr w:rsidR="00CB2001" w:rsidRPr="008C1A9B" w14:paraId="3069C545" w14:textId="246894D1" w:rsidTr="006562FE">
        <w:trPr>
          <w:trHeight w:val="20"/>
          <w:tblCellSpacing w:w="15" w:type="dxa"/>
        </w:trPr>
        <w:tc>
          <w:tcPr>
            <w:tcW w:w="3825" w:type="dxa"/>
            <w:vAlign w:val="center"/>
            <w:hideMark/>
          </w:tcPr>
          <w:p w14:paraId="0A71D2C7" w14:textId="304E70C7" w:rsidR="00CB2001" w:rsidRPr="006562FE" w:rsidRDefault="00411C92" w:rsidP="006562FE">
            <w:pPr>
              <w:rPr>
                <w:rFonts w:ascii="Aptos" w:hAnsi="Aptos"/>
                <w:sz w:val="20"/>
                <w:szCs w:val="20"/>
              </w:rPr>
            </w:pPr>
            <w:r w:rsidRPr="006562FE">
              <w:rPr>
                <w:rFonts w:ascii="Aptos" w:hAnsi="Aptos"/>
                <w:sz w:val="20"/>
                <w:szCs w:val="20"/>
              </w:rPr>
              <w:t>Average Daily Variation</w:t>
            </w:r>
            <w:r w:rsidR="00E83D72" w:rsidRPr="006562FE">
              <w:rPr>
                <w:rFonts w:ascii="Aptos" w:hAnsi="Aptos"/>
                <w:sz w:val="20"/>
                <w:szCs w:val="20"/>
              </w:rPr>
              <w:t xml:space="preserve"> (°C)</w:t>
            </w:r>
          </w:p>
        </w:tc>
        <w:tc>
          <w:tcPr>
            <w:tcW w:w="1680" w:type="dxa"/>
            <w:vAlign w:val="center"/>
            <w:hideMark/>
          </w:tcPr>
          <w:p w14:paraId="4BAFC01C" w14:textId="77777777" w:rsidR="00CB2001" w:rsidRPr="008C1A9B" w:rsidRDefault="00CB2001" w:rsidP="008C1A9B">
            <w:pPr>
              <w:rPr>
                <w:rFonts w:ascii="Aptos" w:hAnsi="Aptos"/>
                <w:sz w:val="20"/>
                <w:szCs w:val="20"/>
              </w:rPr>
            </w:pPr>
            <w:r w:rsidRPr="008C1A9B">
              <w:rPr>
                <w:rFonts w:ascii="Aptos" w:hAnsi="Aptos"/>
                <w:sz w:val="20"/>
                <w:szCs w:val="20"/>
              </w:rPr>
              <w:t>____________</w:t>
            </w:r>
          </w:p>
        </w:tc>
        <w:tc>
          <w:tcPr>
            <w:tcW w:w="1670" w:type="dxa"/>
          </w:tcPr>
          <w:p w14:paraId="5B21EA12" w14:textId="39AC96FD" w:rsidR="00CB2001" w:rsidRPr="008C1A9B" w:rsidRDefault="00BF742F" w:rsidP="008C1A9B">
            <w:pPr>
              <w:rPr>
                <w:rFonts w:ascii="Aptos" w:hAnsi="Aptos"/>
                <w:sz w:val="20"/>
                <w:szCs w:val="20"/>
              </w:rPr>
            </w:pPr>
            <w:r w:rsidRPr="008C1A9B">
              <w:rPr>
                <w:rFonts w:ascii="Aptos" w:hAnsi="Aptos"/>
                <w:sz w:val="20"/>
                <w:szCs w:val="20"/>
              </w:rPr>
              <w:t>____________</w:t>
            </w:r>
          </w:p>
        </w:tc>
      </w:tr>
      <w:tr w:rsidR="00193D99" w:rsidRPr="008C1A9B" w14:paraId="002BCC17" w14:textId="77777777" w:rsidTr="006562FE">
        <w:trPr>
          <w:trHeight w:val="20"/>
          <w:tblCellSpacing w:w="15" w:type="dxa"/>
        </w:trPr>
        <w:tc>
          <w:tcPr>
            <w:tcW w:w="3825" w:type="dxa"/>
            <w:vAlign w:val="center"/>
          </w:tcPr>
          <w:p w14:paraId="04B8BF9A" w14:textId="450E327D" w:rsidR="00193D99" w:rsidRPr="006562FE" w:rsidRDefault="005F619C" w:rsidP="006562FE">
            <w:pPr>
              <w:rPr>
                <w:rFonts w:ascii="Aptos" w:hAnsi="Aptos"/>
                <w:sz w:val="20"/>
                <w:szCs w:val="20"/>
              </w:rPr>
            </w:pPr>
            <w:r w:rsidRPr="006562FE">
              <w:rPr>
                <w:rFonts w:ascii="Aptos" w:hAnsi="Aptos"/>
                <w:sz w:val="20"/>
                <w:szCs w:val="20"/>
              </w:rPr>
              <w:t>Maximum Design Snow Loads (kg/m</w:t>
            </w:r>
            <w:r w:rsidRPr="006562FE">
              <w:rPr>
                <w:rFonts w:ascii="Aptos" w:hAnsi="Aptos"/>
                <w:sz w:val="20"/>
                <w:szCs w:val="20"/>
                <w:vertAlign w:val="superscript"/>
              </w:rPr>
              <w:t>2</w:t>
            </w:r>
            <w:r w:rsidRPr="006562FE">
              <w:rPr>
                <w:rFonts w:ascii="Aptos" w:hAnsi="Aptos"/>
                <w:sz w:val="20"/>
                <w:szCs w:val="20"/>
              </w:rPr>
              <w:t>)</w:t>
            </w:r>
          </w:p>
        </w:tc>
        <w:tc>
          <w:tcPr>
            <w:tcW w:w="1680" w:type="dxa"/>
            <w:vAlign w:val="center"/>
          </w:tcPr>
          <w:p w14:paraId="3E9B1B10" w14:textId="30D14DA7" w:rsidR="00193D99" w:rsidRPr="008C1A9B" w:rsidRDefault="005F619C" w:rsidP="008C1A9B">
            <w:pPr>
              <w:rPr>
                <w:rFonts w:ascii="Aptos" w:hAnsi="Aptos"/>
                <w:sz w:val="20"/>
                <w:szCs w:val="20"/>
              </w:rPr>
            </w:pPr>
            <w:r>
              <w:rPr>
                <w:rFonts w:ascii="Aptos" w:hAnsi="Aptos"/>
                <w:sz w:val="20"/>
                <w:szCs w:val="20"/>
              </w:rPr>
              <w:t>____________</w:t>
            </w:r>
          </w:p>
        </w:tc>
        <w:tc>
          <w:tcPr>
            <w:tcW w:w="1670" w:type="dxa"/>
          </w:tcPr>
          <w:p w14:paraId="5F69FD6B" w14:textId="2A004AAF" w:rsidR="00193D99" w:rsidRPr="008C1A9B" w:rsidRDefault="005F619C" w:rsidP="008C1A9B">
            <w:pPr>
              <w:rPr>
                <w:rFonts w:ascii="Aptos" w:hAnsi="Aptos"/>
                <w:sz w:val="20"/>
                <w:szCs w:val="20"/>
              </w:rPr>
            </w:pPr>
            <w:r>
              <w:rPr>
                <w:rFonts w:ascii="Aptos" w:hAnsi="Aptos"/>
                <w:sz w:val="20"/>
                <w:szCs w:val="20"/>
              </w:rPr>
              <w:t>____________</w:t>
            </w:r>
          </w:p>
        </w:tc>
      </w:tr>
    </w:tbl>
    <w:p w14:paraId="15DA1E50" w14:textId="0CBFAF36" w:rsidR="002B1EED" w:rsidRPr="002B1EED" w:rsidRDefault="002B1EED" w:rsidP="005C7300">
      <w:pPr>
        <w:pStyle w:val="Heading2"/>
      </w:pPr>
      <w:r w:rsidRPr="00403668">
        <w:rPr>
          <w:b/>
        </w:rPr>
        <w:t>Seismic Requirements</w:t>
      </w:r>
      <w:r w:rsidR="001044CF">
        <w:br/>
      </w:r>
      <w:r w:rsidRPr="002B1EED">
        <w:t>Equipment, internal supports, and anchorage shall be designed for seismic forces in accordance with the International Building Code (IBC) and ASCE 7, Chapter 13 (Nonstructural Electrical Components). Design shall be based on the following project-specific criteria:</w:t>
      </w:r>
      <w:r w:rsidR="00F64188">
        <w:br/>
      </w:r>
    </w:p>
    <w:p w14:paraId="6BC9A167" w14:textId="77777777" w:rsidR="002B1EED" w:rsidRPr="002B1EED" w:rsidRDefault="002B1EED" w:rsidP="00F64188">
      <w:pPr>
        <w:tabs>
          <w:tab w:val="num" w:pos="360"/>
        </w:tabs>
        <w:ind w:left="180" w:right="540"/>
        <w:rPr>
          <w:rFonts w:ascii="Aptos" w:hAnsi="Aptos"/>
          <w:color w:val="121212"/>
          <w:sz w:val="20"/>
          <w:szCs w:val="20"/>
        </w:rPr>
      </w:pPr>
      <w:r w:rsidRPr="002B1EED">
        <w:rPr>
          <w:rFonts w:ascii="Aptos" w:hAnsi="Aptos"/>
          <w:color w:val="121212"/>
          <w:sz w:val="20"/>
          <w:szCs w:val="20"/>
        </w:rPr>
        <w:t>Risk Category: [_____]</w:t>
      </w:r>
    </w:p>
    <w:p w14:paraId="3141CB0E" w14:textId="77777777" w:rsidR="002B1EED" w:rsidRPr="002B1EED" w:rsidRDefault="002B1EED" w:rsidP="00F64188">
      <w:pPr>
        <w:tabs>
          <w:tab w:val="num" w:pos="360"/>
        </w:tabs>
        <w:ind w:left="180" w:right="540"/>
        <w:rPr>
          <w:rFonts w:ascii="Aptos" w:hAnsi="Aptos"/>
          <w:color w:val="121212"/>
          <w:sz w:val="20"/>
          <w:szCs w:val="20"/>
        </w:rPr>
      </w:pPr>
      <w:r w:rsidRPr="002B1EED">
        <w:rPr>
          <w:rFonts w:ascii="Aptos" w:hAnsi="Aptos"/>
          <w:color w:val="121212"/>
          <w:sz w:val="20"/>
          <w:szCs w:val="20"/>
        </w:rPr>
        <w:t>Seismic Design Category</w:t>
      </w:r>
      <w:proofErr w:type="gramStart"/>
      <w:r w:rsidRPr="002B1EED">
        <w:rPr>
          <w:rFonts w:ascii="Aptos" w:hAnsi="Aptos"/>
          <w:color w:val="121212"/>
          <w:sz w:val="20"/>
          <w:szCs w:val="20"/>
        </w:rPr>
        <w:t>: [_</w:t>
      </w:r>
      <w:proofErr w:type="gramEnd"/>
      <w:r w:rsidRPr="002B1EED">
        <w:rPr>
          <w:rFonts w:ascii="Aptos" w:hAnsi="Aptos"/>
          <w:color w:val="121212"/>
          <w:sz w:val="20"/>
          <w:szCs w:val="20"/>
        </w:rPr>
        <w:t>____]</w:t>
      </w:r>
    </w:p>
    <w:p w14:paraId="44179B72" w14:textId="03FA0916" w:rsidR="002B1EED" w:rsidRPr="002B1EED" w:rsidRDefault="002B1EED" w:rsidP="00F64188">
      <w:pPr>
        <w:tabs>
          <w:tab w:val="num" w:pos="360"/>
        </w:tabs>
        <w:ind w:left="180" w:right="540"/>
        <w:rPr>
          <w:rFonts w:ascii="Aptos" w:hAnsi="Aptos"/>
          <w:color w:val="121212"/>
          <w:sz w:val="20"/>
          <w:szCs w:val="20"/>
        </w:rPr>
      </w:pPr>
      <w:r w:rsidRPr="002B1EED">
        <w:rPr>
          <w:rFonts w:ascii="Aptos" w:hAnsi="Aptos"/>
          <w:color w:val="121212"/>
          <w:sz w:val="20"/>
          <w:szCs w:val="20"/>
        </w:rPr>
        <w:t>Spectral Response (</w:t>
      </w:r>
      <w:r w:rsidR="00B759DD">
        <w:rPr>
          <w:rFonts w:ascii="Aptos" w:hAnsi="Aptos"/>
          <w:color w:val="121212"/>
          <w:sz w:val="20"/>
          <w:szCs w:val="20"/>
        </w:rPr>
        <w:t>S</w:t>
      </w:r>
      <w:r w:rsidR="00B759DD" w:rsidRPr="00B759DD">
        <w:rPr>
          <w:rFonts w:ascii="Aptos" w:hAnsi="Aptos"/>
          <w:color w:val="121212"/>
          <w:sz w:val="20"/>
          <w:szCs w:val="20"/>
          <w:vertAlign w:val="subscript"/>
        </w:rPr>
        <w:t>DS</w:t>
      </w:r>
      <w:r w:rsidR="00B759DD">
        <w:rPr>
          <w:rFonts w:ascii="Aptos" w:hAnsi="Aptos"/>
          <w:color w:val="121212"/>
          <w:sz w:val="20"/>
          <w:szCs w:val="20"/>
        </w:rPr>
        <w:t>)</w:t>
      </w:r>
      <w:proofErr w:type="gramStart"/>
      <w:r w:rsidRPr="002B1EED">
        <w:rPr>
          <w:rFonts w:ascii="Aptos" w:hAnsi="Aptos"/>
          <w:color w:val="121212"/>
          <w:sz w:val="20"/>
          <w:szCs w:val="20"/>
        </w:rPr>
        <w:t>: [_</w:t>
      </w:r>
      <w:proofErr w:type="gramEnd"/>
      <w:r w:rsidRPr="002B1EED">
        <w:rPr>
          <w:rFonts w:ascii="Aptos" w:hAnsi="Aptos"/>
          <w:color w:val="121212"/>
          <w:sz w:val="20"/>
          <w:szCs w:val="20"/>
        </w:rPr>
        <w:t>____]</w:t>
      </w:r>
    </w:p>
    <w:p w14:paraId="58B34991" w14:textId="78C745BC" w:rsidR="002B1EED" w:rsidRPr="002B1EED" w:rsidRDefault="002B1EED" w:rsidP="00F64188">
      <w:pPr>
        <w:tabs>
          <w:tab w:val="num" w:pos="360"/>
        </w:tabs>
        <w:ind w:left="180" w:right="540"/>
        <w:rPr>
          <w:rFonts w:ascii="Aptos" w:hAnsi="Aptos"/>
          <w:color w:val="121212"/>
          <w:sz w:val="20"/>
          <w:szCs w:val="20"/>
        </w:rPr>
      </w:pPr>
      <w:r w:rsidRPr="002B1EED">
        <w:rPr>
          <w:rFonts w:ascii="Aptos" w:hAnsi="Aptos"/>
          <w:color w:val="121212"/>
          <w:sz w:val="20"/>
          <w:szCs w:val="20"/>
        </w:rPr>
        <w:t>Spectral Response (</w:t>
      </w:r>
      <w:r w:rsidR="00B759DD">
        <w:rPr>
          <w:rFonts w:ascii="Aptos" w:hAnsi="Aptos"/>
          <w:color w:val="121212"/>
          <w:sz w:val="20"/>
          <w:szCs w:val="20"/>
        </w:rPr>
        <w:t>S</w:t>
      </w:r>
      <w:r w:rsidR="00B759DD" w:rsidRPr="00B759DD">
        <w:rPr>
          <w:rFonts w:ascii="Aptos" w:hAnsi="Aptos"/>
          <w:color w:val="121212"/>
          <w:sz w:val="20"/>
          <w:szCs w:val="20"/>
          <w:vertAlign w:val="subscript"/>
        </w:rPr>
        <w:t>D1</w:t>
      </w:r>
      <w:r w:rsidRPr="002B1EED">
        <w:rPr>
          <w:rFonts w:ascii="Aptos" w:hAnsi="Aptos"/>
          <w:color w:val="121212"/>
          <w:sz w:val="20"/>
          <w:szCs w:val="20"/>
        </w:rPr>
        <w:t>)</w:t>
      </w:r>
      <w:proofErr w:type="gramStart"/>
      <w:r w:rsidRPr="002B1EED">
        <w:rPr>
          <w:rFonts w:ascii="Aptos" w:hAnsi="Aptos"/>
          <w:color w:val="121212"/>
          <w:sz w:val="20"/>
          <w:szCs w:val="20"/>
        </w:rPr>
        <w:t>: [_</w:t>
      </w:r>
      <w:proofErr w:type="gramEnd"/>
      <w:r w:rsidRPr="002B1EED">
        <w:rPr>
          <w:rFonts w:ascii="Aptos" w:hAnsi="Aptos"/>
          <w:color w:val="121212"/>
          <w:sz w:val="20"/>
          <w:szCs w:val="20"/>
        </w:rPr>
        <w:t>____]</w:t>
      </w:r>
    </w:p>
    <w:p w14:paraId="711A21C1" w14:textId="48750936" w:rsidR="002B1EED" w:rsidRPr="002B1EED" w:rsidRDefault="002B1EED" w:rsidP="00F64188">
      <w:pPr>
        <w:tabs>
          <w:tab w:val="num" w:pos="360"/>
        </w:tabs>
        <w:ind w:left="180" w:right="540"/>
        <w:rPr>
          <w:rFonts w:ascii="Aptos" w:hAnsi="Aptos"/>
          <w:color w:val="121212"/>
          <w:sz w:val="20"/>
          <w:szCs w:val="20"/>
        </w:rPr>
      </w:pPr>
      <w:r w:rsidRPr="002B1EED">
        <w:rPr>
          <w:rFonts w:ascii="Aptos" w:hAnsi="Aptos"/>
          <w:color w:val="121212"/>
          <w:sz w:val="20"/>
          <w:szCs w:val="20"/>
        </w:rPr>
        <w:t>Component Importance Factor (I</w:t>
      </w:r>
      <w:r w:rsidR="00AA6C11" w:rsidRPr="00AA6C11">
        <w:rPr>
          <w:rFonts w:ascii="Aptos" w:hAnsi="Aptos"/>
          <w:color w:val="121212"/>
          <w:sz w:val="20"/>
          <w:szCs w:val="20"/>
          <w:vertAlign w:val="subscript"/>
        </w:rPr>
        <w:t>P</w:t>
      </w:r>
      <w:r w:rsidRPr="002B1EED">
        <w:rPr>
          <w:rFonts w:ascii="Aptos" w:hAnsi="Aptos"/>
          <w:color w:val="121212"/>
          <w:sz w:val="20"/>
          <w:szCs w:val="20"/>
        </w:rPr>
        <w:t>): [1.0] [1.5]</w:t>
      </w:r>
    </w:p>
    <w:p w14:paraId="128DE067" w14:textId="77777777" w:rsidR="002B1EED" w:rsidRPr="002B1EED" w:rsidRDefault="002B1EED" w:rsidP="00F64188">
      <w:pPr>
        <w:tabs>
          <w:tab w:val="num" w:pos="360"/>
        </w:tabs>
        <w:ind w:left="180" w:right="540"/>
        <w:rPr>
          <w:rFonts w:ascii="Aptos" w:hAnsi="Aptos"/>
          <w:color w:val="121212"/>
          <w:sz w:val="20"/>
          <w:szCs w:val="20"/>
        </w:rPr>
      </w:pPr>
      <w:r w:rsidRPr="002B1EED">
        <w:rPr>
          <w:rFonts w:ascii="Aptos" w:hAnsi="Aptos"/>
          <w:color w:val="121212"/>
          <w:sz w:val="20"/>
          <w:szCs w:val="20"/>
        </w:rPr>
        <w:t>Post-Earthquake Operability Required: [Yes] [No]</w:t>
      </w:r>
    </w:p>
    <w:p w14:paraId="4569DB59" w14:textId="23028316" w:rsidR="007F5DA2" w:rsidRPr="007F5DA2" w:rsidRDefault="007F5DA2" w:rsidP="00990363">
      <w:pPr>
        <w:pStyle w:val="Heading2"/>
        <w:tabs>
          <w:tab w:val="num" w:pos="90"/>
        </w:tabs>
        <w:ind w:left="90" w:hanging="360"/>
      </w:pPr>
      <w:r w:rsidRPr="007D45C1">
        <w:rPr>
          <w:b/>
          <w:bCs/>
        </w:rPr>
        <w:t>Wind and Structural Loads</w:t>
      </w:r>
      <w:r w:rsidR="007D45C1">
        <w:rPr>
          <w:b/>
          <w:bCs/>
        </w:rPr>
        <w:br/>
      </w:r>
      <w:r w:rsidRPr="007F5DA2">
        <w:t xml:space="preserve">Equipment, support structures, and anchorage shall be designed to resist wind loads in accordance with ASCE </w:t>
      </w:r>
      <w:r w:rsidR="007D45C1" w:rsidRPr="007D45C1">
        <w:t xml:space="preserve">7-22. </w:t>
      </w:r>
      <w:r w:rsidRPr="007F5DA2">
        <w:t>The manufacturer shall provide structural calculations stamped by a Licensed Professional Engineer (PE) upon request.</w:t>
      </w:r>
    </w:p>
    <w:p w14:paraId="0910D14F" w14:textId="0B0ECEC7" w:rsidR="007F5DA2" w:rsidRPr="007F5DA2" w:rsidRDefault="007F5DA2" w:rsidP="00DC3E00">
      <w:pPr>
        <w:pStyle w:val="11Head-Bullet"/>
      </w:pPr>
      <w:r w:rsidRPr="007F5DA2">
        <w:t>Ultimate Design Wind Speed (V</w:t>
      </w:r>
      <w:r w:rsidRPr="00EC4E8B">
        <w:rPr>
          <w:vertAlign w:val="subscript"/>
        </w:rPr>
        <w:t>ult</w:t>
      </w:r>
      <w:r w:rsidRPr="007F5DA2">
        <w:t>): ______ mph (3-second gust).</w:t>
      </w:r>
    </w:p>
    <w:p w14:paraId="0D823BF7" w14:textId="706E26E4" w:rsidR="007F5DA2" w:rsidRPr="007F5DA2" w:rsidRDefault="007F5DA2" w:rsidP="00DC3E00">
      <w:pPr>
        <w:pStyle w:val="11Head-Bullet"/>
      </w:pPr>
      <w:r w:rsidRPr="007F5DA2">
        <w:t>Category: [B] [C] [D</w:t>
      </w:r>
    </w:p>
    <w:p w14:paraId="58432887" w14:textId="77777777" w:rsidR="007F5DA2" w:rsidRPr="007F5DA2" w:rsidRDefault="007F5DA2" w:rsidP="00510113">
      <w:pPr>
        <w:numPr>
          <w:ilvl w:val="1"/>
          <w:numId w:val="10"/>
        </w:numPr>
        <w:tabs>
          <w:tab w:val="num" w:pos="90"/>
        </w:tabs>
        <w:ind w:right="540"/>
        <w:rPr>
          <w:rFonts w:ascii="Aptos" w:hAnsi="Aptos"/>
          <w:color w:val="121212"/>
          <w:sz w:val="20"/>
          <w:szCs w:val="20"/>
        </w:rPr>
      </w:pPr>
      <w:r w:rsidRPr="007F5DA2">
        <w:rPr>
          <w:rFonts w:ascii="Aptos" w:hAnsi="Aptos"/>
          <w:color w:val="121212"/>
          <w:sz w:val="20"/>
          <w:szCs w:val="20"/>
        </w:rPr>
        <w:t>Category C (open terrain) is the industry default for most substation and industrial environments.</w:t>
      </w:r>
    </w:p>
    <w:p w14:paraId="2376ACEB" w14:textId="77777777" w:rsidR="007F5DA2" w:rsidRPr="007F5DA2" w:rsidRDefault="007F5DA2" w:rsidP="00DC3E00">
      <w:pPr>
        <w:pStyle w:val="11Head-Bullet"/>
      </w:pPr>
      <w:r w:rsidRPr="007F5DA2">
        <w:t>Risk Category: [I] [II] [III] [IV]</w:t>
      </w:r>
    </w:p>
    <w:p w14:paraId="1AD4801A" w14:textId="77777777" w:rsidR="007F5DA2" w:rsidRPr="007F5DA2" w:rsidRDefault="007F5DA2" w:rsidP="00510113">
      <w:pPr>
        <w:numPr>
          <w:ilvl w:val="1"/>
          <w:numId w:val="10"/>
        </w:numPr>
        <w:tabs>
          <w:tab w:val="num" w:pos="90"/>
        </w:tabs>
        <w:ind w:right="540"/>
        <w:rPr>
          <w:rFonts w:ascii="Aptos" w:hAnsi="Aptos"/>
          <w:color w:val="121212"/>
          <w:sz w:val="20"/>
          <w:szCs w:val="20"/>
        </w:rPr>
      </w:pPr>
      <w:r w:rsidRPr="007F5DA2">
        <w:rPr>
          <w:rFonts w:ascii="Aptos" w:hAnsi="Aptos"/>
          <w:color w:val="121212"/>
          <w:sz w:val="20"/>
          <w:szCs w:val="20"/>
        </w:rPr>
        <w:t>Standard industrial equipment is typically Category II, whereas "Essential Facilities" (critical utility infrastructure) require Category IV.</w:t>
      </w:r>
    </w:p>
    <w:p w14:paraId="654318EB" w14:textId="2AF203C4" w:rsidR="007F5DA2" w:rsidRPr="007F5DA2" w:rsidRDefault="007F5DA2" w:rsidP="00DC3E00">
      <w:pPr>
        <w:pStyle w:val="11Head-Bullet"/>
      </w:pPr>
      <w:r w:rsidRPr="007F5DA2">
        <w:t>Ground Elevation Factor (K</w:t>
      </w:r>
      <w:r w:rsidRPr="007F52A5">
        <w:rPr>
          <w:vertAlign w:val="subscript"/>
        </w:rPr>
        <w:t>e</w:t>
      </w:r>
      <w:proofErr w:type="gramStart"/>
      <w:r w:rsidRPr="007F5DA2">
        <w:t>): _</w:t>
      </w:r>
      <w:proofErr w:type="gramEnd"/>
      <w:r w:rsidRPr="007F5DA2">
        <w:t>_____</w:t>
      </w:r>
    </w:p>
    <w:p w14:paraId="5A1FE768" w14:textId="3A941214" w:rsidR="007F5DA2" w:rsidRPr="007F5DA2" w:rsidRDefault="007F5DA2" w:rsidP="00DC3E00">
      <w:pPr>
        <w:pStyle w:val="11Head-Bullet"/>
      </w:pPr>
      <w:r w:rsidRPr="007F5DA2">
        <w:rPr>
          <w:b/>
          <w:bCs/>
        </w:rPr>
        <w:t>Internal Pressure Coefficient (GC</w:t>
      </w:r>
      <w:r w:rsidRPr="007F52A5">
        <w:rPr>
          <w:b/>
          <w:bCs/>
          <w:vertAlign w:val="subscript"/>
        </w:rPr>
        <w:t>pi</w:t>
      </w:r>
      <w:r w:rsidRPr="007F5DA2">
        <w:rPr>
          <w:b/>
          <w:bCs/>
        </w:rPr>
        <w:t>):</w:t>
      </w:r>
      <w:r w:rsidRPr="007F5DA2">
        <w:t xml:space="preserve"> The enclosure shall be designed as an "Enclosed" or "Partially Enclosed" structure per ASCE 7 definition, accounting for all ventilation louvers and openings.</w:t>
      </w:r>
    </w:p>
    <w:p w14:paraId="20D2E5D5" w14:textId="6C35A82D" w:rsidR="00395420" w:rsidRPr="009D4DA6" w:rsidRDefault="006E7CCA" w:rsidP="009D4DA6">
      <w:pPr>
        <w:pStyle w:val="Heading1"/>
      </w:pPr>
      <w:r w:rsidRPr="009D4DA6">
        <w:lastRenderedPageBreak/>
        <w:t>Product Certification and Listing</w:t>
      </w:r>
    </w:p>
    <w:p w14:paraId="22FAD503" w14:textId="77777777" w:rsidR="006E7CCA" w:rsidRPr="0015310B" w:rsidRDefault="006E7CCA" w:rsidP="005C7300">
      <w:pPr>
        <w:pStyle w:val="Heading2"/>
      </w:pPr>
      <w:r w:rsidRPr="00162FBE">
        <w:t>The</w:t>
      </w:r>
      <w:r w:rsidRPr="0015310B">
        <w:t xml:space="preserve"> shunt reactor enclosure system shall be Listed and Labeled by a Nationally Recognized Testing Laboratory (NRTL) to the following standards:</w:t>
      </w:r>
    </w:p>
    <w:p w14:paraId="0BCA8FBC" w14:textId="77777777" w:rsidR="006E7CCA" w:rsidRPr="0015310B" w:rsidRDefault="006E7CCA" w:rsidP="00E20A5A">
      <w:pPr>
        <w:pStyle w:val="NormalWeb"/>
        <w:numPr>
          <w:ilvl w:val="0"/>
          <w:numId w:val="4"/>
        </w:numPr>
        <w:tabs>
          <w:tab w:val="num" w:pos="270"/>
        </w:tabs>
        <w:ind w:left="270" w:right="540" w:hanging="180"/>
        <w:rPr>
          <w:rFonts w:ascii="Aptos" w:hAnsi="Aptos"/>
          <w:sz w:val="20"/>
          <w:szCs w:val="20"/>
        </w:rPr>
      </w:pPr>
      <w:r w:rsidRPr="0015310B">
        <w:rPr>
          <w:rFonts w:ascii="Aptos" w:hAnsi="Aptos"/>
          <w:b/>
          <w:bCs/>
          <w:sz w:val="20"/>
          <w:szCs w:val="20"/>
        </w:rPr>
        <w:t>United States:</w:t>
      </w:r>
      <w:r w:rsidRPr="0015310B">
        <w:rPr>
          <w:rFonts w:ascii="Aptos" w:hAnsi="Aptos"/>
          <w:sz w:val="20"/>
          <w:szCs w:val="20"/>
        </w:rPr>
        <w:t xml:space="preserve"> IEEE C37.20.3 (Standard for Metal-Enclosed Interrupter Switchgear).</w:t>
      </w:r>
    </w:p>
    <w:p w14:paraId="74F8E940" w14:textId="77777777" w:rsidR="006E7CCA" w:rsidRPr="0015310B" w:rsidRDefault="006E7CCA" w:rsidP="00E20A5A">
      <w:pPr>
        <w:pStyle w:val="NormalWeb"/>
        <w:numPr>
          <w:ilvl w:val="0"/>
          <w:numId w:val="4"/>
        </w:numPr>
        <w:tabs>
          <w:tab w:val="num" w:pos="90"/>
        </w:tabs>
        <w:ind w:left="270" w:right="540" w:hanging="180"/>
        <w:rPr>
          <w:rFonts w:ascii="Aptos" w:hAnsi="Aptos"/>
          <w:sz w:val="20"/>
          <w:szCs w:val="20"/>
        </w:rPr>
      </w:pPr>
      <w:r w:rsidRPr="0015310B">
        <w:rPr>
          <w:rFonts w:ascii="Aptos" w:hAnsi="Aptos"/>
          <w:b/>
          <w:bCs/>
          <w:sz w:val="20"/>
          <w:szCs w:val="20"/>
        </w:rPr>
        <w:t>Canada:</w:t>
      </w:r>
      <w:r w:rsidRPr="0015310B">
        <w:rPr>
          <w:rFonts w:ascii="Aptos" w:hAnsi="Aptos"/>
          <w:sz w:val="20"/>
          <w:szCs w:val="20"/>
        </w:rPr>
        <w:t xml:space="preserve"> CSA C22.2 No. 31 (Switchgear Assemblies) or CSA C22.2 No. 190 (Capacitors and Reactors).</w:t>
      </w:r>
    </w:p>
    <w:p w14:paraId="55C7E1D6" w14:textId="19587E4F" w:rsidR="00395420" w:rsidRDefault="00395420" w:rsidP="005C7300">
      <w:pPr>
        <w:pStyle w:val="Heading2"/>
      </w:pPr>
      <w:r w:rsidRPr="0015310B">
        <w:t xml:space="preserve">The </w:t>
      </w:r>
      <w:r w:rsidR="00206FE1">
        <w:t xml:space="preserve">capacitor bank </w:t>
      </w:r>
      <w:r w:rsidRPr="0015310B">
        <w:t>control system shall be UL508A Certified for both Canadian and US products.</w:t>
      </w:r>
    </w:p>
    <w:p w14:paraId="09FF321E" w14:textId="733CD2D8" w:rsidR="00501C9D" w:rsidRPr="009D4DA6" w:rsidRDefault="00501C9D" w:rsidP="009D4DA6">
      <w:pPr>
        <w:pStyle w:val="Heading1"/>
      </w:pPr>
      <w:r w:rsidRPr="009D4DA6">
        <w:t>Compliance with Standard &amp; Codes</w:t>
      </w:r>
    </w:p>
    <w:p w14:paraId="1E324EF7" w14:textId="6551F685" w:rsidR="00501C9D" w:rsidRPr="00395420" w:rsidRDefault="00501C9D" w:rsidP="005C7300">
      <w:pPr>
        <w:pStyle w:val="Heading2"/>
      </w:pPr>
      <w:r w:rsidRPr="00B61DDE">
        <w:t>The metal</w:t>
      </w:r>
      <w:r w:rsidRPr="00395420">
        <w:t xml:space="preserve"> enclosed shunt </w:t>
      </w:r>
      <w:r w:rsidR="006165F2">
        <w:t xml:space="preserve">capacitor bank </w:t>
      </w:r>
      <w:r w:rsidRPr="00395420">
        <w:t xml:space="preserve">shall conform to or exceed the </w:t>
      </w:r>
      <w:r w:rsidR="00341E2F">
        <w:t xml:space="preserve">latest </w:t>
      </w:r>
      <w:r w:rsidRPr="00395420">
        <w:t>applicable requirements of the following standards and codes:</w:t>
      </w:r>
    </w:p>
    <w:p w14:paraId="2425C206" w14:textId="0624B4B9" w:rsidR="00501C9D" w:rsidRPr="00692145" w:rsidRDefault="00501C9D"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692145">
        <w:rPr>
          <w:rFonts w:ascii="Aptos" w:hAnsi="Aptos"/>
          <w:color w:val="121212"/>
        </w:rPr>
        <w:t>UL-508</w:t>
      </w:r>
      <w:r w:rsidR="0041495E" w:rsidRPr="00692145">
        <w:rPr>
          <w:rFonts w:ascii="Aptos" w:hAnsi="Aptos"/>
          <w:color w:val="121212"/>
        </w:rPr>
        <w:t>A</w:t>
      </w:r>
      <w:r w:rsidR="006A4420" w:rsidRPr="00692145">
        <w:rPr>
          <w:rFonts w:ascii="Aptos" w:hAnsi="Aptos"/>
          <w:color w:val="121212"/>
        </w:rPr>
        <w:t xml:space="preserve">: </w:t>
      </w:r>
      <w:r w:rsidR="008A4CBD" w:rsidRPr="00692145">
        <w:rPr>
          <w:rFonts w:ascii="Aptos" w:hAnsi="Aptos"/>
          <w:color w:val="121212"/>
        </w:rPr>
        <w:t>Standard for Industrial Control Panels</w:t>
      </w:r>
    </w:p>
    <w:p w14:paraId="51C63B54" w14:textId="7EA08093" w:rsidR="00971CF1" w:rsidRDefault="00971CF1"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692145">
        <w:rPr>
          <w:rFonts w:ascii="Aptos" w:hAnsi="Aptos"/>
          <w:color w:val="121212"/>
        </w:rPr>
        <w:t>IEEE C37.20.3</w:t>
      </w:r>
      <w:r w:rsidR="00A16E17">
        <w:rPr>
          <w:rFonts w:ascii="Aptos" w:hAnsi="Aptos"/>
          <w:color w:val="121212"/>
        </w:rPr>
        <w:t xml:space="preserve"> - 2023</w:t>
      </w:r>
      <w:r w:rsidR="006A4420" w:rsidRPr="00692145">
        <w:rPr>
          <w:rFonts w:ascii="Aptos" w:hAnsi="Aptos"/>
          <w:color w:val="121212"/>
        </w:rPr>
        <w:t xml:space="preserve">: </w:t>
      </w:r>
      <w:r w:rsidR="00600F6A" w:rsidRPr="00692145">
        <w:rPr>
          <w:rFonts w:ascii="Aptos" w:hAnsi="Aptos"/>
          <w:color w:val="121212"/>
        </w:rPr>
        <w:t xml:space="preserve">Standard for Metal-Enclosed Interrupter Switchgear </w:t>
      </w:r>
    </w:p>
    <w:p w14:paraId="78CC83E7" w14:textId="7D10AABD" w:rsidR="00651275" w:rsidRDefault="00651275"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692145">
        <w:rPr>
          <w:rFonts w:ascii="Aptos" w:hAnsi="Aptos"/>
          <w:color w:val="121212"/>
        </w:rPr>
        <w:t>IEEE C37.20.</w:t>
      </w:r>
      <w:r>
        <w:rPr>
          <w:rFonts w:ascii="Aptos" w:hAnsi="Aptos"/>
          <w:color w:val="121212"/>
        </w:rPr>
        <w:t>4</w:t>
      </w:r>
      <w:r w:rsidR="00A16E17">
        <w:rPr>
          <w:rFonts w:ascii="Aptos" w:hAnsi="Aptos"/>
          <w:color w:val="121212"/>
        </w:rPr>
        <w:t xml:space="preserve"> - 2013</w:t>
      </w:r>
      <w:r w:rsidRPr="00692145">
        <w:rPr>
          <w:rFonts w:ascii="Aptos" w:hAnsi="Aptos"/>
          <w:color w:val="121212"/>
        </w:rPr>
        <w:t xml:space="preserve">: </w:t>
      </w:r>
      <w:r w:rsidR="00D50270">
        <w:rPr>
          <w:rFonts w:ascii="Aptos" w:hAnsi="Aptos"/>
          <w:color w:val="121212"/>
        </w:rPr>
        <w:t xml:space="preserve">Standard </w:t>
      </w:r>
      <w:r w:rsidR="00667DF9">
        <w:rPr>
          <w:rFonts w:ascii="Aptos" w:hAnsi="Aptos"/>
          <w:color w:val="121212"/>
        </w:rPr>
        <w:t xml:space="preserve">for Indoor AC Switches (1kV to 38kV) For Use </w:t>
      </w:r>
      <w:proofErr w:type="gramStart"/>
      <w:r w:rsidR="00667DF9">
        <w:rPr>
          <w:rFonts w:ascii="Aptos" w:hAnsi="Aptos"/>
          <w:color w:val="121212"/>
        </w:rPr>
        <w:t>In</w:t>
      </w:r>
      <w:proofErr w:type="gramEnd"/>
      <w:r w:rsidR="00667DF9">
        <w:rPr>
          <w:rFonts w:ascii="Aptos" w:hAnsi="Aptos"/>
          <w:color w:val="121212"/>
        </w:rPr>
        <w:t xml:space="preserve"> Metal-Enclosed Switchgear</w:t>
      </w:r>
    </w:p>
    <w:p w14:paraId="73145A5B" w14:textId="063A828F" w:rsidR="000071F5" w:rsidRDefault="00AB154B" w:rsidP="00E20A5A">
      <w:pPr>
        <w:pStyle w:val="BodyTextIndent"/>
        <w:widowControl w:val="0"/>
        <w:numPr>
          <w:ilvl w:val="0"/>
          <w:numId w:val="2"/>
        </w:numPr>
        <w:tabs>
          <w:tab w:val="clear" w:pos="360"/>
          <w:tab w:val="num" w:pos="450"/>
          <w:tab w:val="num" w:pos="1800"/>
        </w:tabs>
        <w:ind w:left="450" w:right="540"/>
        <w:rPr>
          <w:rFonts w:ascii="Aptos" w:hAnsi="Aptos"/>
          <w:color w:val="121212"/>
        </w:rPr>
      </w:pPr>
      <w:r>
        <w:rPr>
          <w:rFonts w:ascii="Aptos" w:hAnsi="Aptos"/>
          <w:color w:val="121212"/>
        </w:rPr>
        <w:t xml:space="preserve">IEEE </w:t>
      </w:r>
      <w:r w:rsidR="000071F5" w:rsidRPr="000071F5">
        <w:rPr>
          <w:rFonts w:ascii="Aptos" w:hAnsi="Aptos"/>
          <w:color w:val="121212"/>
        </w:rPr>
        <w:t>C37.011-2019</w:t>
      </w:r>
      <w:r>
        <w:rPr>
          <w:rFonts w:ascii="Aptos" w:hAnsi="Aptos"/>
          <w:color w:val="121212"/>
        </w:rPr>
        <w:t xml:space="preserve">: </w:t>
      </w:r>
      <w:r w:rsidR="000071F5" w:rsidRPr="000071F5">
        <w:rPr>
          <w:rFonts w:ascii="Aptos" w:hAnsi="Aptos"/>
          <w:color w:val="121212"/>
        </w:rPr>
        <w:t>Guide for the Application of Transient Recover Voltage in High-Voltage Circuit Breakers</w:t>
      </w:r>
    </w:p>
    <w:p w14:paraId="4D3C03E0" w14:textId="0852FF2F" w:rsidR="007171A8" w:rsidRDefault="007171A8" w:rsidP="00E20A5A">
      <w:pPr>
        <w:pStyle w:val="BodyTextIndent"/>
        <w:widowControl w:val="0"/>
        <w:numPr>
          <w:ilvl w:val="0"/>
          <w:numId w:val="2"/>
        </w:numPr>
        <w:tabs>
          <w:tab w:val="clear" w:pos="360"/>
          <w:tab w:val="num" w:pos="450"/>
          <w:tab w:val="num" w:pos="1800"/>
        </w:tabs>
        <w:ind w:left="450" w:right="540"/>
        <w:rPr>
          <w:rFonts w:ascii="Aptos" w:hAnsi="Aptos"/>
          <w:color w:val="121212"/>
        </w:rPr>
      </w:pPr>
      <w:r>
        <w:rPr>
          <w:rFonts w:ascii="Aptos" w:hAnsi="Aptos"/>
          <w:color w:val="121212"/>
        </w:rPr>
        <w:t xml:space="preserve">IEEE C37.04-2018: Standard </w:t>
      </w:r>
      <w:r w:rsidR="00D41DBB">
        <w:rPr>
          <w:rFonts w:ascii="Aptos" w:hAnsi="Aptos"/>
          <w:color w:val="121212"/>
        </w:rPr>
        <w:t xml:space="preserve">for Ratings and Requirements for AC High-Voltage Circuit Breakers </w:t>
      </w:r>
      <w:r w:rsidR="00D05CD9">
        <w:rPr>
          <w:rFonts w:ascii="Aptos" w:hAnsi="Aptos"/>
          <w:color w:val="121212"/>
        </w:rPr>
        <w:t>with Rated Maximum Voltage Above 1000V</w:t>
      </w:r>
    </w:p>
    <w:p w14:paraId="1A4AC22C" w14:textId="7E30E42E" w:rsidR="00AB154B" w:rsidRDefault="00AB154B"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AB154B">
        <w:rPr>
          <w:rFonts w:ascii="Aptos" w:hAnsi="Aptos"/>
          <w:color w:val="121212"/>
        </w:rPr>
        <w:t>IEEE 18-20</w:t>
      </w:r>
      <w:r w:rsidR="00C53C36">
        <w:rPr>
          <w:rFonts w:ascii="Aptos" w:hAnsi="Aptos"/>
          <w:color w:val="121212"/>
        </w:rPr>
        <w:t>25</w:t>
      </w:r>
      <w:r>
        <w:rPr>
          <w:rFonts w:ascii="Aptos" w:hAnsi="Aptos"/>
          <w:color w:val="121212"/>
        </w:rPr>
        <w:t>:</w:t>
      </w:r>
      <w:r w:rsidRPr="00AB154B">
        <w:rPr>
          <w:rFonts w:ascii="Aptos" w:hAnsi="Aptos"/>
          <w:color w:val="121212"/>
        </w:rPr>
        <w:t xml:space="preserve"> Standard for Shunt Power Capacitors</w:t>
      </w:r>
    </w:p>
    <w:p w14:paraId="6C39FBDD" w14:textId="7EC86E09" w:rsidR="00591356" w:rsidRDefault="00591356"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591356">
        <w:rPr>
          <w:rFonts w:ascii="Aptos" w:hAnsi="Aptos"/>
          <w:color w:val="121212"/>
        </w:rPr>
        <w:t>IEEE 519-2022</w:t>
      </w:r>
      <w:r>
        <w:rPr>
          <w:rFonts w:ascii="Aptos" w:hAnsi="Aptos"/>
          <w:color w:val="121212"/>
        </w:rPr>
        <w:t xml:space="preserve">: </w:t>
      </w:r>
      <w:r w:rsidRPr="00591356">
        <w:rPr>
          <w:rFonts w:ascii="Aptos" w:hAnsi="Aptos"/>
          <w:color w:val="121212"/>
        </w:rPr>
        <w:t>Standard for Harmonic Control in Electric Power Systems</w:t>
      </w:r>
    </w:p>
    <w:p w14:paraId="28253B03" w14:textId="0EFBC238" w:rsidR="00591356" w:rsidRDefault="00591356"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591356">
        <w:rPr>
          <w:rFonts w:ascii="Aptos" w:hAnsi="Aptos"/>
          <w:color w:val="121212"/>
        </w:rPr>
        <w:t>IEEE 1036-2020</w:t>
      </w:r>
      <w:r>
        <w:rPr>
          <w:rFonts w:ascii="Aptos" w:hAnsi="Aptos"/>
          <w:color w:val="121212"/>
        </w:rPr>
        <w:t xml:space="preserve">: </w:t>
      </w:r>
      <w:r w:rsidRPr="00591356">
        <w:rPr>
          <w:rFonts w:ascii="Aptos" w:hAnsi="Aptos"/>
          <w:color w:val="121212"/>
        </w:rPr>
        <w:t>Guide for the Application of Shunt Power Capacitors</w:t>
      </w:r>
    </w:p>
    <w:p w14:paraId="0E3CD318" w14:textId="2BB3F328" w:rsidR="007C7D52" w:rsidRDefault="007C7D52"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7C7D52">
        <w:rPr>
          <w:rFonts w:ascii="Aptos" w:hAnsi="Aptos"/>
          <w:color w:val="121212"/>
        </w:rPr>
        <w:t>IEEE C37.66-2021</w:t>
      </w:r>
      <w:r>
        <w:rPr>
          <w:rFonts w:ascii="Aptos" w:hAnsi="Aptos"/>
          <w:color w:val="121212"/>
        </w:rPr>
        <w:t>:</w:t>
      </w:r>
      <w:r w:rsidRPr="007C7D52">
        <w:rPr>
          <w:rFonts w:ascii="Aptos" w:hAnsi="Aptos"/>
          <w:color w:val="121212"/>
        </w:rPr>
        <w:t xml:space="preserve"> IEEE Standard Requirements for Capacitor Switches</w:t>
      </w:r>
    </w:p>
    <w:p w14:paraId="1F1ECE84" w14:textId="066FE8A6" w:rsidR="009B67D2" w:rsidRDefault="009B67D2"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9B67D2">
        <w:rPr>
          <w:rFonts w:ascii="Aptos" w:hAnsi="Aptos"/>
          <w:color w:val="121212"/>
        </w:rPr>
        <w:t>IEEE C37.012-2022</w:t>
      </w:r>
      <w:r>
        <w:rPr>
          <w:rFonts w:ascii="Aptos" w:hAnsi="Aptos"/>
          <w:color w:val="121212"/>
        </w:rPr>
        <w:t xml:space="preserve">: </w:t>
      </w:r>
      <w:r w:rsidRPr="009B67D2">
        <w:rPr>
          <w:rFonts w:ascii="Aptos" w:hAnsi="Aptos"/>
          <w:color w:val="121212"/>
        </w:rPr>
        <w:t>Guide for the Application of Capacitive Current Switching for AC High-Voltage Circuit Breakers Above 1000V</w:t>
      </w:r>
    </w:p>
    <w:p w14:paraId="335E4093" w14:textId="3300EC54" w:rsidR="007C7D52" w:rsidRDefault="007C7D52"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7C7D52">
        <w:rPr>
          <w:rFonts w:ascii="Aptos" w:hAnsi="Aptos"/>
          <w:color w:val="121212"/>
        </w:rPr>
        <w:t>IEEE C37.99-2012</w:t>
      </w:r>
      <w:r>
        <w:rPr>
          <w:rFonts w:ascii="Aptos" w:hAnsi="Aptos"/>
          <w:color w:val="121212"/>
        </w:rPr>
        <w:t>:</w:t>
      </w:r>
      <w:r w:rsidRPr="007C7D52">
        <w:rPr>
          <w:rFonts w:ascii="Aptos" w:hAnsi="Aptos"/>
          <w:color w:val="121212"/>
        </w:rPr>
        <w:t xml:space="preserve"> Guide for the Protection of Shunt Power Capacitor Banks</w:t>
      </w:r>
    </w:p>
    <w:p w14:paraId="775613ED" w14:textId="4C87EDD7" w:rsidR="00FB155E" w:rsidRDefault="00FB155E"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FB155E">
        <w:rPr>
          <w:rFonts w:ascii="Aptos" w:hAnsi="Aptos"/>
          <w:color w:val="121212"/>
        </w:rPr>
        <w:t>IEEE PES-TR16</w:t>
      </w:r>
      <w:r>
        <w:rPr>
          <w:rFonts w:ascii="Aptos" w:hAnsi="Aptos"/>
          <w:color w:val="121212"/>
        </w:rPr>
        <w:t xml:space="preserve">: </w:t>
      </w:r>
      <w:r w:rsidRPr="00FB155E">
        <w:rPr>
          <w:rFonts w:ascii="Aptos" w:hAnsi="Aptos"/>
          <w:color w:val="121212"/>
        </w:rPr>
        <w:t>Transient Limiting Inductor Applications in Shunt Capacitor Banks</w:t>
      </w:r>
    </w:p>
    <w:p w14:paraId="72471E0C" w14:textId="25A57277" w:rsidR="00CE00E3" w:rsidRDefault="00CE00E3"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CE00E3">
        <w:rPr>
          <w:rFonts w:ascii="Aptos" w:hAnsi="Aptos"/>
          <w:color w:val="121212"/>
        </w:rPr>
        <w:t>IEEE-C62.22-2009</w:t>
      </w:r>
      <w:r>
        <w:rPr>
          <w:rFonts w:ascii="Aptos" w:hAnsi="Aptos"/>
          <w:color w:val="121212"/>
        </w:rPr>
        <w:t xml:space="preserve">: </w:t>
      </w:r>
      <w:r w:rsidRPr="00CE00E3">
        <w:rPr>
          <w:rFonts w:ascii="Aptos" w:hAnsi="Aptos"/>
          <w:color w:val="121212"/>
        </w:rPr>
        <w:t>Guide for the Application of Metal-Oxide Surge Arresters for Alternating-Current Systems</w:t>
      </w:r>
    </w:p>
    <w:p w14:paraId="4E51E6DD" w14:textId="3C3C36E0" w:rsidR="00E94B2D" w:rsidRDefault="00E94B2D"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E94B2D">
        <w:rPr>
          <w:rFonts w:ascii="Aptos" w:hAnsi="Aptos"/>
          <w:color w:val="121212"/>
        </w:rPr>
        <w:t>IEEE C37.20.7-2024</w:t>
      </w:r>
      <w:r>
        <w:rPr>
          <w:rFonts w:ascii="Aptos" w:hAnsi="Aptos"/>
          <w:color w:val="121212"/>
        </w:rPr>
        <w:t>:</w:t>
      </w:r>
      <w:r w:rsidR="007A0AFF">
        <w:rPr>
          <w:rFonts w:ascii="Aptos" w:hAnsi="Aptos"/>
          <w:color w:val="121212"/>
        </w:rPr>
        <w:t xml:space="preserve"> Recommended Practice for Testing Switchgear Rated Up to 52kV for Internal Arcing Faults</w:t>
      </w:r>
      <w:r>
        <w:rPr>
          <w:rFonts w:ascii="Aptos" w:hAnsi="Aptos"/>
          <w:color w:val="121212"/>
        </w:rPr>
        <w:t xml:space="preserve"> </w:t>
      </w:r>
    </w:p>
    <w:p w14:paraId="64602607" w14:textId="5CD2E32D" w:rsidR="008A4183" w:rsidRDefault="008A4183" w:rsidP="00E20A5A">
      <w:pPr>
        <w:pStyle w:val="BodyTextIndent"/>
        <w:widowControl w:val="0"/>
        <w:numPr>
          <w:ilvl w:val="0"/>
          <w:numId w:val="2"/>
        </w:numPr>
        <w:tabs>
          <w:tab w:val="clear" w:pos="360"/>
          <w:tab w:val="num" w:pos="450"/>
          <w:tab w:val="num" w:pos="1800"/>
        </w:tabs>
        <w:ind w:left="450" w:right="540"/>
        <w:rPr>
          <w:rFonts w:ascii="Aptos" w:hAnsi="Aptos"/>
          <w:color w:val="121212"/>
        </w:rPr>
      </w:pPr>
      <w:r>
        <w:rPr>
          <w:rFonts w:ascii="Aptos" w:hAnsi="Aptos"/>
          <w:color w:val="121212"/>
        </w:rPr>
        <w:t xml:space="preserve">IEEE C37.48-2020: </w:t>
      </w:r>
      <w:r w:rsidR="00E54891">
        <w:rPr>
          <w:rFonts w:ascii="Aptos" w:hAnsi="Aptos"/>
          <w:color w:val="121212"/>
        </w:rPr>
        <w:t>G</w:t>
      </w:r>
      <w:r w:rsidR="00E54891" w:rsidRPr="00E54891">
        <w:rPr>
          <w:rFonts w:ascii="Aptos" w:hAnsi="Aptos"/>
          <w:color w:val="121212"/>
        </w:rPr>
        <w:t>uide and Tutorial for the Application of High-Voltage (&gt; 1000 V) Fuses and Accessories</w:t>
      </w:r>
    </w:p>
    <w:p w14:paraId="12A94F3E" w14:textId="038A1BFB" w:rsidR="009A1E4B" w:rsidRPr="00692145" w:rsidRDefault="00501C9D"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692145">
        <w:rPr>
          <w:rFonts w:ascii="Aptos" w:hAnsi="Aptos"/>
          <w:color w:val="121212"/>
        </w:rPr>
        <w:t>UL-50</w:t>
      </w:r>
      <w:r w:rsidR="00955B28" w:rsidRPr="00692145">
        <w:rPr>
          <w:rFonts w:ascii="Aptos" w:hAnsi="Aptos"/>
          <w:color w:val="121212"/>
        </w:rPr>
        <w:t xml:space="preserve"> &amp; UL 50E</w:t>
      </w:r>
      <w:r w:rsidR="006A4420" w:rsidRPr="00692145">
        <w:rPr>
          <w:rFonts w:ascii="Aptos" w:hAnsi="Aptos"/>
          <w:color w:val="121212"/>
        </w:rPr>
        <w:t xml:space="preserve">: </w:t>
      </w:r>
      <w:r w:rsidR="00955B28" w:rsidRPr="00692145">
        <w:rPr>
          <w:rFonts w:ascii="Aptos" w:hAnsi="Aptos"/>
          <w:color w:val="121212"/>
        </w:rPr>
        <w:t>Enclosures for Electrical Equipment, Environmental Considerations</w:t>
      </w:r>
    </w:p>
    <w:p w14:paraId="7829B1F8" w14:textId="68174341" w:rsidR="00501C9D" w:rsidRPr="00692145" w:rsidRDefault="00501C9D"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692145">
        <w:rPr>
          <w:rFonts w:ascii="Aptos" w:hAnsi="Aptos"/>
          <w:color w:val="121212"/>
        </w:rPr>
        <w:t>ANSI Z535.4</w:t>
      </w:r>
      <w:r w:rsidR="00254D75">
        <w:rPr>
          <w:rFonts w:ascii="Aptos" w:hAnsi="Aptos"/>
          <w:color w:val="121212"/>
        </w:rPr>
        <w:t xml:space="preserve"> - </w:t>
      </w:r>
      <w:r w:rsidR="00437989" w:rsidRPr="00692145">
        <w:rPr>
          <w:rFonts w:ascii="Aptos" w:hAnsi="Aptos"/>
          <w:color w:val="121212"/>
        </w:rPr>
        <w:t>R2023</w:t>
      </w:r>
      <w:r w:rsidR="00901FA6">
        <w:rPr>
          <w:rFonts w:ascii="Aptos" w:hAnsi="Aptos"/>
          <w:color w:val="121212"/>
        </w:rPr>
        <w:t>:</w:t>
      </w:r>
      <w:r w:rsidRPr="00692145">
        <w:rPr>
          <w:rFonts w:ascii="Aptos" w:hAnsi="Aptos"/>
          <w:color w:val="121212"/>
        </w:rPr>
        <w:t xml:space="preserve"> Product Safety </w:t>
      </w:r>
      <w:r w:rsidR="00437989" w:rsidRPr="00692145">
        <w:rPr>
          <w:rFonts w:ascii="Aptos" w:hAnsi="Aptos"/>
          <w:color w:val="121212"/>
        </w:rPr>
        <w:t>Signs and Labels</w:t>
      </w:r>
    </w:p>
    <w:p w14:paraId="6019D942" w14:textId="1A991F46" w:rsidR="00C47C62" w:rsidRPr="00692145" w:rsidRDefault="00A83393" w:rsidP="00E20A5A">
      <w:pPr>
        <w:pStyle w:val="BodyTextIndent"/>
        <w:widowControl w:val="0"/>
        <w:numPr>
          <w:ilvl w:val="0"/>
          <w:numId w:val="2"/>
        </w:numPr>
        <w:tabs>
          <w:tab w:val="clear" w:pos="360"/>
          <w:tab w:val="num" w:pos="450"/>
          <w:tab w:val="num" w:pos="1800"/>
        </w:tabs>
        <w:ind w:left="450" w:right="540"/>
        <w:rPr>
          <w:rFonts w:ascii="Aptos" w:hAnsi="Aptos"/>
          <w:color w:val="121212"/>
        </w:rPr>
      </w:pPr>
      <w:r>
        <w:rPr>
          <w:rFonts w:ascii="Aptos" w:hAnsi="Aptos"/>
          <w:color w:val="121212"/>
        </w:rPr>
        <w:t xml:space="preserve">NFPA 70 – 2023: </w:t>
      </w:r>
      <w:r w:rsidR="00501C9D" w:rsidRPr="00692145">
        <w:rPr>
          <w:rFonts w:ascii="Aptos" w:hAnsi="Aptos"/>
          <w:color w:val="121212"/>
        </w:rPr>
        <w:t>Article 4</w:t>
      </w:r>
      <w:r w:rsidR="00D35331">
        <w:rPr>
          <w:rFonts w:ascii="Aptos" w:hAnsi="Aptos"/>
          <w:color w:val="121212"/>
        </w:rPr>
        <w:t>6</w:t>
      </w:r>
      <w:r w:rsidR="00501C9D" w:rsidRPr="00692145">
        <w:rPr>
          <w:rFonts w:ascii="Aptos" w:hAnsi="Aptos"/>
          <w:color w:val="121212"/>
        </w:rPr>
        <w:t>0</w:t>
      </w:r>
      <w:r w:rsidR="00D35331">
        <w:rPr>
          <w:rFonts w:ascii="Aptos" w:hAnsi="Aptos"/>
          <w:color w:val="121212"/>
        </w:rPr>
        <w:t xml:space="preserve"> </w:t>
      </w:r>
      <w:r w:rsidR="00C21C88">
        <w:rPr>
          <w:rFonts w:ascii="Aptos" w:hAnsi="Aptos"/>
          <w:color w:val="121212"/>
        </w:rPr>
        <w:t xml:space="preserve">and Article 490 </w:t>
      </w:r>
      <w:r w:rsidR="00501C9D" w:rsidRPr="00692145">
        <w:rPr>
          <w:rFonts w:ascii="Aptos" w:hAnsi="Aptos"/>
          <w:color w:val="121212"/>
        </w:rPr>
        <w:t>of the National Electrical Code</w:t>
      </w:r>
    </w:p>
    <w:p w14:paraId="7F426A68" w14:textId="0E4B0FBC" w:rsidR="00667E6F" w:rsidRPr="00692145" w:rsidRDefault="00501C9D"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692145">
        <w:rPr>
          <w:rFonts w:ascii="Aptos" w:hAnsi="Aptos"/>
          <w:color w:val="121212"/>
        </w:rPr>
        <w:t>ANSI C37.20.2</w:t>
      </w:r>
      <w:r w:rsidR="00A83393">
        <w:rPr>
          <w:rFonts w:ascii="Aptos" w:hAnsi="Aptos"/>
          <w:color w:val="121212"/>
        </w:rPr>
        <w:t>:</w:t>
      </w:r>
      <w:r w:rsidRPr="00692145">
        <w:rPr>
          <w:rFonts w:ascii="Aptos" w:hAnsi="Aptos"/>
          <w:color w:val="121212"/>
        </w:rPr>
        <w:t xml:space="preserve"> Guide for Enclosure Categories and Related Requirements</w:t>
      </w:r>
    </w:p>
    <w:p w14:paraId="1D77F50A" w14:textId="70A76773" w:rsidR="007A5369" w:rsidRDefault="007A5369"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692145">
        <w:rPr>
          <w:rFonts w:ascii="Aptos" w:hAnsi="Aptos"/>
          <w:color w:val="121212"/>
        </w:rPr>
        <w:t>NFPA 70-2023</w:t>
      </w:r>
      <w:r w:rsidR="00A83393">
        <w:rPr>
          <w:rFonts w:ascii="Aptos" w:hAnsi="Aptos"/>
          <w:color w:val="121212"/>
        </w:rPr>
        <w:t>:</w:t>
      </w:r>
      <w:r w:rsidRPr="00692145">
        <w:rPr>
          <w:rFonts w:ascii="Aptos" w:hAnsi="Aptos"/>
          <w:color w:val="121212"/>
        </w:rPr>
        <w:t xml:space="preserve"> Article 490: Equipment</w:t>
      </w:r>
      <w:r w:rsidR="006A4420" w:rsidRPr="00692145">
        <w:rPr>
          <w:rFonts w:ascii="Aptos" w:hAnsi="Aptos"/>
          <w:color w:val="121212"/>
        </w:rPr>
        <w:t xml:space="preserve"> Over 1000 Volts, Nominal</w:t>
      </w:r>
    </w:p>
    <w:p w14:paraId="3CE3299D" w14:textId="256F39E7" w:rsidR="00296F2B" w:rsidRPr="009D4DA6" w:rsidRDefault="00BC61F2" w:rsidP="009D4DA6">
      <w:pPr>
        <w:pStyle w:val="Heading1"/>
      </w:pPr>
      <w:r w:rsidRPr="009D4DA6">
        <w:t>Enclosure Construct</w:t>
      </w:r>
      <w:r w:rsidR="00445825" w:rsidRPr="009D4DA6">
        <w:t>ion</w:t>
      </w:r>
    </w:p>
    <w:p w14:paraId="3061DD64" w14:textId="481C1F0A" w:rsidR="009D2FDE" w:rsidRPr="009D2FDE" w:rsidRDefault="00C81C58" w:rsidP="00433CC3">
      <w:pPr>
        <w:pStyle w:val="Heading2"/>
      </w:pPr>
      <w:r w:rsidRPr="009D2FDE">
        <w:rPr>
          <w:b/>
        </w:rPr>
        <w:t>Manufacturing and Responsibility</w:t>
      </w:r>
      <w:r w:rsidRPr="009D2FDE">
        <w:rPr>
          <w:b/>
        </w:rPr>
        <w:br/>
      </w:r>
      <w:r w:rsidRPr="00C81C58">
        <w:t xml:space="preserve">The manufacturer of the enclosure shall also be the assembler of the </w:t>
      </w:r>
      <w:r w:rsidR="00C66FDC">
        <w:t>capacitor bank</w:t>
      </w:r>
      <w:r w:rsidRPr="00C81C58">
        <w:t>. This integration is mandatory to ensure single-point accountability and total control over critical processes, including structural welding, surface preparation, and the application of the specified coating system.</w:t>
      </w:r>
    </w:p>
    <w:p w14:paraId="29DD0275" w14:textId="48669A04" w:rsidR="00C81C58" w:rsidRPr="000F36A3" w:rsidRDefault="00C81C58" w:rsidP="005C7300">
      <w:pPr>
        <w:pStyle w:val="Heading2"/>
        <w:rPr>
          <w:b/>
          <w:bCs/>
        </w:rPr>
      </w:pPr>
      <w:r w:rsidRPr="000F36A3">
        <w:rPr>
          <w:b/>
          <w:bCs/>
        </w:rPr>
        <w:lastRenderedPageBreak/>
        <w:t>Structural Design</w:t>
      </w:r>
    </w:p>
    <w:p w14:paraId="1EB3F921" w14:textId="76447639" w:rsidR="00C81C58" w:rsidRPr="00C81C58" w:rsidRDefault="00C81C58" w:rsidP="000F36A3">
      <w:pPr>
        <w:pStyle w:val="11Head-Bullet"/>
      </w:pPr>
      <w:r w:rsidRPr="00C81C58">
        <w:rPr>
          <w:b/>
          <w:color w:val="121212"/>
        </w:rPr>
        <w:t>Configuration</w:t>
      </w:r>
      <w:r w:rsidRPr="00C81C58">
        <w:rPr>
          <w:b/>
        </w:rPr>
        <w:t>:</w:t>
      </w:r>
      <w:r w:rsidRPr="00C81C58">
        <w:t xml:space="preserve"> The </w:t>
      </w:r>
      <w:r w:rsidR="00C66FDC">
        <w:t>capacitor bank</w:t>
      </w:r>
      <w:r w:rsidRPr="00C81C58">
        <w:t xml:space="preserve"> shall be a NEMA 3R, flush-door enclosure housing all necessary components, including controls, fuses, reactors, switches, and RC snubbers.</w:t>
      </w:r>
    </w:p>
    <w:p w14:paraId="13FB2EB1" w14:textId="653BB860" w:rsidR="009D2FDE" w:rsidRPr="009D2FDE" w:rsidRDefault="009D2FDE" w:rsidP="000F36A3">
      <w:pPr>
        <w:pStyle w:val="11Head-Bullet"/>
        <w:rPr>
          <w:color w:val="121212"/>
        </w:rPr>
      </w:pPr>
      <w:r w:rsidRPr="009D2FDE">
        <w:rPr>
          <w:b/>
          <w:bCs/>
          <w:color w:val="121212"/>
        </w:rPr>
        <w:t>Filter Ready Provisions:</w:t>
      </w:r>
      <w:r>
        <w:rPr>
          <w:color w:val="121212"/>
        </w:rPr>
        <w:t xml:space="preserve"> Filter Ready provisions shall be provided in the enclosure and component layout to allow for easy conversion of the filter ready capacitor bank to a harmonic filter bank.</w:t>
      </w:r>
    </w:p>
    <w:p w14:paraId="79692A6C" w14:textId="79DFA649" w:rsidR="00C81C58" w:rsidRPr="00C81C58" w:rsidRDefault="00C81C58" w:rsidP="000F36A3">
      <w:pPr>
        <w:pStyle w:val="11Head-Bullet"/>
        <w:rPr>
          <w:color w:val="121212"/>
        </w:rPr>
      </w:pPr>
      <w:r w:rsidRPr="00C81C58">
        <w:rPr>
          <w:b/>
          <w:color w:val="121212"/>
        </w:rPr>
        <w:t>Accessibility:</w:t>
      </w:r>
      <w:r w:rsidRPr="00C81C58">
        <w:rPr>
          <w:color w:val="121212"/>
        </w:rPr>
        <w:t xml:space="preserve"> All components shall be accessible and removable from the front or side of the enclosure. </w:t>
      </w:r>
    </w:p>
    <w:p w14:paraId="528D5D5B" w14:textId="202AD9D4" w:rsidR="00C81C58" w:rsidRPr="00C81C58" w:rsidRDefault="00C81C58" w:rsidP="000F36A3">
      <w:pPr>
        <w:pStyle w:val="11Head-Bullet"/>
        <w:rPr>
          <w:color w:val="121212"/>
        </w:rPr>
      </w:pPr>
      <w:r w:rsidRPr="004A52F4">
        <w:rPr>
          <w:b/>
          <w:bCs/>
          <w:color w:val="121212"/>
        </w:rPr>
        <w:t xml:space="preserve">Materials: </w:t>
      </w:r>
      <w:r w:rsidRPr="00C81C58">
        <w:rPr>
          <w:color w:val="121212"/>
        </w:rPr>
        <w:t>Enclosure walls and doors shall be fabricated from 11-gauge cold-rolled A60 galvannealed steel</w:t>
      </w:r>
      <w:r w:rsidR="00B82984">
        <w:rPr>
          <w:color w:val="121212"/>
        </w:rPr>
        <w:t xml:space="preserve"> (or specify 12-guage stainless steel, type 304, 316, or 409).</w:t>
      </w:r>
    </w:p>
    <w:p w14:paraId="14434A19" w14:textId="77777777" w:rsidR="00C81C58" w:rsidRPr="00C81C58" w:rsidRDefault="00C81C58" w:rsidP="000F36A3">
      <w:pPr>
        <w:pStyle w:val="11Head-Bullet"/>
        <w:rPr>
          <w:color w:val="121212"/>
        </w:rPr>
      </w:pPr>
      <w:r w:rsidRPr="00C81C58">
        <w:rPr>
          <w:b/>
          <w:color w:val="121212"/>
        </w:rPr>
        <w:t>Roof:</w:t>
      </w:r>
      <w:r w:rsidRPr="00C81C58">
        <w:rPr>
          <w:color w:val="121212"/>
        </w:rPr>
        <w:t xml:space="preserve"> The roof shall be cross-kinked, half-gabled, or full-gabled to ensure positive watershed.</w:t>
      </w:r>
    </w:p>
    <w:p w14:paraId="747E52FB" w14:textId="77777777" w:rsidR="00C81C58" w:rsidRPr="00C81C58" w:rsidRDefault="00C81C58" w:rsidP="000F36A3">
      <w:pPr>
        <w:pStyle w:val="11Head-Bullet"/>
        <w:rPr>
          <w:color w:val="121212"/>
        </w:rPr>
      </w:pPr>
      <w:r w:rsidRPr="00C81C58">
        <w:rPr>
          <w:b/>
          <w:color w:val="121212"/>
        </w:rPr>
        <w:t>Base:</w:t>
      </w:r>
      <w:r w:rsidRPr="00C81C58">
        <w:rPr>
          <w:color w:val="121212"/>
        </w:rPr>
        <w:t xml:space="preserve"> The enclosure base shall be constructed of C4x5.4 structural steel channel. Formed sheet-metal bases are prohibited.</w:t>
      </w:r>
    </w:p>
    <w:p w14:paraId="2D426657" w14:textId="25D7BCE3" w:rsidR="00C81C58" w:rsidRDefault="00C81C58" w:rsidP="000F36A3">
      <w:pPr>
        <w:pStyle w:val="11Head-Bullet"/>
      </w:pPr>
      <w:r w:rsidRPr="00C81C58">
        <w:rPr>
          <w:b/>
          <w:color w:val="121212"/>
        </w:rPr>
        <w:t>Lifting:</w:t>
      </w:r>
      <w:r w:rsidRPr="00C81C58">
        <w:rPr>
          <w:color w:val="121212"/>
        </w:rPr>
        <w:t xml:space="preserve"> </w:t>
      </w:r>
      <w:r w:rsidR="005F01EF" w:rsidRPr="00805077">
        <w:rPr>
          <w:color w:val="121212"/>
        </w:rPr>
        <w:t xml:space="preserve">Removable 1/2-inch </w:t>
      </w:r>
      <w:proofErr w:type="gramStart"/>
      <w:r w:rsidR="005F01EF" w:rsidRPr="00805077">
        <w:rPr>
          <w:color w:val="121212"/>
        </w:rPr>
        <w:t>steel lifting</w:t>
      </w:r>
      <w:proofErr w:type="gramEnd"/>
      <w:r w:rsidR="005F01EF" w:rsidRPr="00805077">
        <w:rPr>
          <w:color w:val="121212"/>
        </w:rPr>
        <w:t xml:space="preserve"> plates shall be provided at each corner. Where equipment length could result in undue flexing during lifting, additional welded lifting points shall be provided along the </w:t>
      </w:r>
      <w:r w:rsidR="005F01EF">
        <w:rPr>
          <w:color w:val="121212"/>
        </w:rPr>
        <w:t>C4x5.4 base channel.</w:t>
      </w:r>
    </w:p>
    <w:p w14:paraId="497BB5DE" w14:textId="7C8BC8E0" w:rsidR="00AB604D" w:rsidRPr="00AB604D" w:rsidRDefault="00AB604D" w:rsidP="005C7300">
      <w:pPr>
        <w:pStyle w:val="Heading2"/>
      </w:pPr>
      <w:r w:rsidRPr="002755B2">
        <w:rPr>
          <w:b/>
        </w:rPr>
        <w:t>Coating and Finish</w:t>
      </w:r>
      <w:r w:rsidR="000377FE">
        <w:rPr>
          <w:b/>
        </w:rPr>
        <w:br/>
      </w:r>
      <w:r w:rsidRPr="00AB604D">
        <w:t xml:space="preserve">The enclosure shall be finished with a high-performance, high-solids epoxy system. </w:t>
      </w:r>
      <w:r w:rsidR="000377FE">
        <w:t>Interior and e</w:t>
      </w:r>
      <w:r w:rsidRPr="00AB604D">
        <w:t xml:space="preserve">xterior surfaces shall be finished in </w:t>
      </w:r>
      <w:r w:rsidR="000377FE">
        <w:t xml:space="preserve">ANSI 61 Gray. </w:t>
      </w:r>
    </w:p>
    <w:p w14:paraId="29FCEDCD" w14:textId="77777777" w:rsidR="00AB604D" w:rsidRPr="00AB604D" w:rsidRDefault="00AB604D" w:rsidP="000F36A3">
      <w:pPr>
        <w:pStyle w:val="11Head-Bullet"/>
      </w:pPr>
      <w:r w:rsidRPr="00AB604D">
        <w:rPr>
          <w:b/>
          <w:bCs/>
          <w:color w:val="121212"/>
        </w:rPr>
        <w:t>Surface</w:t>
      </w:r>
      <w:r w:rsidRPr="00AB604D">
        <w:rPr>
          <w:b/>
          <w:bCs/>
        </w:rPr>
        <w:t xml:space="preserve"> Preparation:</w:t>
      </w:r>
      <w:r w:rsidRPr="00AB604D">
        <w:t xml:space="preserve"> All surfaces shall be prepared per SSPC/AMPP (SP2, 3, 6, 7, 10, 11) or the paint manufacturer’s specific recommendations. Documentation of preparation procedures must be included in the submittal.</w:t>
      </w:r>
    </w:p>
    <w:p w14:paraId="673BA5C4" w14:textId="77777777" w:rsidR="00AB604D" w:rsidRPr="00AB604D" w:rsidRDefault="00AB604D" w:rsidP="000F36A3">
      <w:pPr>
        <w:pStyle w:val="11Head-Bullet"/>
      </w:pPr>
      <w:r w:rsidRPr="00AB604D">
        <w:rPr>
          <w:b/>
          <w:bCs/>
          <w:color w:val="121212"/>
        </w:rPr>
        <w:t>Inaccessible</w:t>
      </w:r>
      <w:r w:rsidRPr="00AB604D">
        <w:rPr>
          <w:b/>
          <w:bCs/>
        </w:rPr>
        <w:t xml:space="preserve"> Surfaces:</w:t>
      </w:r>
      <w:r w:rsidRPr="00AB604D">
        <w:t xml:space="preserve"> Any surface rendered inaccessible after fabrication must receive the full coating system prior to assembly. These areas are classified as Zone 2A per SSPC.</w:t>
      </w:r>
    </w:p>
    <w:p w14:paraId="7653374D" w14:textId="77777777" w:rsidR="00AB604D" w:rsidRPr="00AB604D" w:rsidRDefault="00AB604D" w:rsidP="000F36A3">
      <w:pPr>
        <w:pStyle w:val="11Head-Bullet"/>
      </w:pPr>
      <w:r w:rsidRPr="00AB604D">
        <w:rPr>
          <w:b/>
          <w:bCs/>
          <w:color w:val="121212"/>
        </w:rPr>
        <w:t>Performance</w:t>
      </w:r>
      <w:r w:rsidRPr="00AB604D">
        <w:rPr>
          <w:b/>
          <w:bCs/>
        </w:rPr>
        <w:t xml:space="preserve"> Metrics:</w:t>
      </w:r>
      <w:r w:rsidRPr="00AB604D">
        <w:t xml:space="preserve"> The total Dry Film Thickness (DFT) shall be 3.5 to 8.0 </w:t>
      </w:r>
      <w:proofErr w:type="gramStart"/>
      <w:r w:rsidRPr="00AB604D">
        <w:t>mils</w:t>
      </w:r>
      <w:proofErr w:type="gramEnd"/>
      <w:r w:rsidRPr="00AB604D">
        <w:t>. The coating must meet the following:</w:t>
      </w:r>
    </w:p>
    <w:p w14:paraId="717D82C6" w14:textId="77777777" w:rsidR="00AB604D" w:rsidRPr="000377FE" w:rsidRDefault="00AB604D" w:rsidP="00510113">
      <w:pPr>
        <w:pStyle w:val="11Head-Bullet"/>
        <w:numPr>
          <w:ilvl w:val="1"/>
          <w:numId w:val="5"/>
        </w:numPr>
      </w:pPr>
      <w:r w:rsidRPr="000377FE">
        <w:rPr>
          <w:b/>
          <w:bCs/>
        </w:rPr>
        <w:t>Salt Spray (ASTM B117):</w:t>
      </w:r>
      <w:r w:rsidRPr="000377FE">
        <w:t xml:space="preserve"> 5500 Hours (no face blistering).</w:t>
      </w:r>
    </w:p>
    <w:p w14:paraId="770EE53B" w14:textId="77777777" w:rsidR="00AB604D" w:rsidRPr="000377FE" w:rsidRDefault="00AB604D" w:rsidP="00510113">
      <w:pPr>
        <w:pStyle w:val="11Head-Bullet"/>
        <w:numPr>
          <w:ilvl w:val="1"/>
          <w:numId w:val="5"/>
        </w:numPr>
      </w:pPr>
      <w:r w:rsidRPr="00777525">
        <w:rPr>
          <w:b/>
          <w:bCs/>
          <w:color w:val="121212"/>
        </w:rPr>
        <w:t>Humidity</w:t>
      </w:r>
      <w:r w:rsidRPr="000377FE">
        <w:rPr>
          <w:b/>
          <w:bCs/>
        </w:rPr>
        <w:t xml:space="preserve"> (ASTM D2247):</w:t>
      </w:r>
      <w:r w:rsidRPr="000377FE">
        <w:t xml:space="preserve"> 5500 Hours (no face corrosion/blistering).</w:t>
      </w:r>
    </w:p>
    <w:p w14:paraId="117CF9A7" w14:textId="77777777" w:rsidR="00AB604D" w:rsidRPr="000377FE" w:rsidRDefault="00AB604D" w:rsidP="00510113">
      <w:pPr>
        <w:pStyle w:val="11Head-Bullet"/>
        <w:numPr>
          <w:ilvl w:val="1"/>
          <w:numId w:val="5"/>
        </w:numPr>
      </w:pPr>
      <w:r w:rsidRPr="00777525">
        <w:rPr>
          <w:b/>
          <w:bCs/>
          <w:color w:val="121212"/>
        </w:rPr>
        <w:t>Gloss</w:t>
      </w:r>
      <w:r w:rsidRPr="000377FE">
        <w:rPr>
          <w:b/>
          <w:bCs/>
        </w:rPr>
        <w:t xml:space="preserve"> Retention (ASTM G53):</w:t>
      </w:r>
      <w:r w:rsidRPr="000377FE">
        <w:t xml:space="preserve"> &gt;50% at 26 weeks (QUV-B).</w:t>
      </w:r>
    </w:p>
    <w:p w14:paraId="028240D5" w14:textId="77777777" w:rsidR="00AB604D" w:rsidRPr="000377FE" w:rsidRDefault="00AB604D" w:rsidP="00510113">
      <w:pPr>
        <w:pStyle w:val="11Head-Bullet"/>
        <w:numPr>
          <w:ilvl w:val="1"/>
          <w:numId w:val="5"/>
        </w:numPr>
      </w:pPr>
      <w:r w:rsidRPr="00777525">
        <w:rPr>
          <w:b/>
          <w:bCs/>
          <w:color w:val="121212"/>
        </w:rPr>
        <w:t>Elongation</w:t>
      </w:r>
      <w:r w:rsidRPr="000377FE">
        <w:rPr>
          <w:b/>
          <w:bCs/>
        </w:rPr>
        <w:t xml:space="preserve"> (ASTM D522):</w:t>
      </w:r>
      <w:r w:rsidRPr="000377FE">
        <w:t xml:space="preserve"> 14%.</w:t>
      </w:r>
    </w:p>
    <w:p w14:paraId="59FDD197" w14:textId="77777777" w:rsidR="00AB604D" w:rsidRPr="000377FE" w:rsidRDefault="00AB604D" w:rsidP="00510113">
      <w:pPr>
        <w:pStyle w:val="11Head-Bullet"/>
        <w:numPr>
          <w:ilvl w:val="1"/>
          <w:numId w:val="5"/>
        </w:numPr>
      </w:pPr>
      <w:r w:rsidRPr="00777525">
        <w:rPr>
          <w:b/>
          <w:bCs/>
          <w:color w:val="121212"/>
        </w:rPr>
        <w:t>Adhesion</w:t>
      </w:r>
      <w:r w:rsidRPr="000377FE">
        <w:rPr>
          <w:b/>
          <w:bCs/>
        </w:rPr>
        <w:t xml:space="preserve"> (ASTM D4541):</w:t>
      </w:r>
      <w:r w:rsidRPr="000377FE">
        <w:t xml:space="preserve"> 2700 PSI.</w:t>
      </w:r>
    </w:p>
    <w:p w14:paraId="14B10DDD" w14:textId="1AFC81B9" w:rsidR="002E039F" w:rsidRPr="005B4F6A" w:rsidRDefault="00AB604D" w:rsidP="00510113">
      <w:pPr>
        <w:pStyle w:val="11Head-Bullet"/>
        <w:numPr>
          <w:ilvl w:val="1"/>
          <w:numId w:val="5"/>
        </w:numPr>
        <w:rPr>
          <w:rFonts w:ascii="Times New Roman" w:hAnsi="Times New Roman"/>
          <w:sz w:val="24"/>
          <w:szCs w:val="24"/>
        </w:rPr>
      </w:pPr>
      <w:r w:rsidRPr="005B4F6A">
        <w:rPr>
          <w:b/>
          <w:bCs/>
        </w:rPr>
        <w:t>Fire Rating:</w:t>
      </w:r>
      <w:r w:rsidRPr="005B4F6A">
        <w:t xml:space="preserve"> NFPA Class A.</w:t>
      </w:r>
    </w:p>
    <w:p w14:paraId="3D7E22DA" w14:textId="2A467CD0" w:rsidR="005B4F6A" w:rsidRPr="000F36A3" w:rsidRDefault="005B4F6A" w:rsidP="005C7300">
      <w:pPr>
        <w:pStyle w:val="Heading2"/>
        <w:rPr>
          <w:b/>
          <w:bCs/>
        </w:rPr>
      </w:pPr>
      <w:r w:rsidRPr="000F36A3">
        <w:rPr>
          <w:b/>
          <w:bCs/>
        </w:rPr>
        <w:t>Doors and Access</w:t>
      </w:r>
    </w:p>
    <w:p w14:paraId="2B0BDF1D" w14:textId="77777777" w:rsidR="005B4F6A" w:rsidRPr="005B4F6A" w:rsidRDefault="005B4F6A" w:rsidP="000F36A3">
      <w:pPr>
        <w:pStyle w:val="11Head-Bullet"/>
      </w:pPr>
      <w:r w:rsidRPr="005B4F6A">
        <w:rPr>
          <w:b/>
          <w:color w:val="121212"/>
        </w:rPr>
        <w:t>Design</w:t>
      </w:r>
      <w:r w:rsidRPr="005B4F6A">
        <w:rPr>
          <w:b/>
        </w:rPr>
        <w:t>:</w:t>
      </w:r>
      <w:r w:rsidRPr="005B4F6A">
        <w:t xml:space="preserve"> Doors shall be flush-mounted (no overhanging sills) with heavy-duty </w:t>
      </w:r>
      <w:proofErr w:type="gramStart"/>
      <w:r w:rsidRPr="005B4F6A">
        <w:t>stainless steel</w:t>
      </w:r>
      <w:proofErr w:type="gramEnd"/>
      <w:r w:rsidRPr="005B4F6A">
        <w:t xml:space="preserve"> hinges and 3-point latching, pad-lockable handles.</w:t>
      </w:r>
    </w:p>
    <w:p w14:paraId="017B24D2" w14:textId="77777777" w:rsidR="005B4F6A" w:rsidRPr="005B4F6A" w:rsidRDefault="005B4F6A" w:rsidP="000F36A3">
      <w:pPr>
        <w:pStyle w:val="11Head-Bullet"/>
      </w:pPr>
      <w:r w:rsidRPr="005B4F6A">
        <w:rPr>
          <w:b/>
        </w:rPr>
        <w:t>Safety Features:</w:t>
      </w:r>
      <w:r w:rsidRPr="005B4F6A">
        <w:t xml:space="preserve"> Doors providing access to high-voltage compartments shall include door stays and drip shields. Doors shall be removable only when in the open position.</w:t>
      </w:r>
    </w:p>
    <w:p w14:paraId="6C403220" w14:textId="7092920F" w:rsidR="005B4F6A" w:rsidRPr="005B4F6A" w:rsidRDefault="005B4F6A" w:rsidP="000F36A3">
      <w:pPr>
        <w:pStyle w:val="11Head-Bullet"/>
      </w:pPr>
      <w:r w:rsidRPr="005B4F6A">
        <w:rPr>
          <w:b/>
          <w:color w:val="121212"/>
        </w:rPr>
        <w:t>Internal</w:t>
      </w:r>
      <w:r w:rsidRPr="005B4F6A">
        <w:rPr>
          <w:b/>
        </w:rPr>
        <w:t xml:space="preserve"> Barriers:</w:t>
      </w:r>
      <w:r w:rsidRPr="005B4F6A">
        <w:t xml:space="preserve"> The load-interrupter switch compartment </w:t>
      </w:r>
      <w:r w:rsidR="0094677E">
        <w:t xml:space="preserve">(if provided) </w:t>
      </w:r>
      <w:r w:rsidRPr="005B4F6A">
        <w:t>shall feature an internal hinged protective barrier to prevent inadvertent contact with live terminals while allowing access to main fuses</w:t>
      </w:r>
      <w:r w:rsidR="0094677E">
        <w:t xml:space="preserve"> (if provided)</w:t>
      </w:r>
      <w:r w:rsidRPr="005B4F6A">
        <w:t>.</w:t>
      </w:r>
    </w:p>
    <w:p w14:paraId="75CFEB69" w14:textId="40EC1B94" w:rsidR="005B4F6A" w:rsidRPr="007028C8" w:rsidRDefault="00D3277B" w:rsidP="000F36A3">
      <w:pPr>
        <w:pStyle w:val="11Head-Bullet"/>
      </w:pPr>
      <w:r w:rsidRPr="00D3277B">
        <w:rPr>
          <w:b/>
          <w:bCs/>
          <w:color w:val="121212"/>
        </w:rPr>
        <w:t>Viewing Windows:</w:t>
      </w:r>
      <w:r w:rsidRPr="00D3277B">
        <w:rPr>
          <w:bCs/>
          <w:color w:val="121212"/>
        </w:rPr>
        <w:t xml:space="preserve"> Impact-resistant, UV-resistant, wide-view windows shall be provided, as applicable, for the interrupter switch compartment to verify blade position, the fuse compartment to verify fuse status, and the capacitor compartment to verify blown-fuse indicator status and switching device position/status.</w:t>
      </w:r>
    </w:p>
    <w:p w14:paraId="035F1784" w14:textId="77777777" w:rsidR="007028C8" w:rsidRDefault="007028C8" w:rsidP="007028C8">
      <w:pPr>
        <w:pStyle w:val="11Head-Bullet"/>
        <w:numPr>
          <w:ilvl w:val="0"/>
          <w:numId w:val="0"/>
        </w:numPr>
        <w:ind w:left="450" w:hanging="360"/>
      </w:pPr>
    </w:p>
    <w:p w14:paraId="4C907775" w14:textId="77777777" w:rsidR="007028C8" w:rsidRDefault="007028C8" w:rsidP="007028C8">
      <w:pPr>
        <w:pStyle w:val="11Head-Bullet"/>
        <w:numPr>
          <w:ilvl w:val="0"/>
          <w:numId w:val="0"/>
        </w:numPr>
        <w:ind w:left="450" w:hanging="360"/>
      </w:pPr>
    </w:p>
    <w:p w14:paraId="0750FB20" w14:textId="77777777" w:rsidR="007028C8" w:rsidRDefault="007028C8" w:rsidP="007028C8">
      <w:pPr>
        <w:pStyle w:val="11Head-Bullet"/>
        <w:numPr>
          <w:ilvl w:val="0"/>
          <w:numId w:val="0"/>
        </w:numPr>
        <w:ind w:left="450" w:hanging="360"/>
      </w:pPr>
    </w:p>
    <w:p w14:paraId="56B9A6A6" w14:textId="77777777" w:rsidR="007028C8" w:rsidRDefault="007028C8" w:rsidP="007028C8">
      <w:pPr>
        <w:pStyle w:val="11Head-Bullet"/>
        <w:numPr>
          <w:ilvl w:val="0"/>
          <w:numId w:val="0"/>
        </w:numPr>
        <w:ind w:left="450" w:hanging="360"/>
      </w:pPr>
    </w:p>
    <w:p w14:paraId="16409C40" w14:textId="77777777" w:rsidR="007028C8" w:rsidRDefault="007028C8" w:rsidP="007028C8">
      <w:pPr>
        <w:pStyle w:val="11Head-Bullet"/>
        <w:numPr>
          <w:ilvl w:val="0"/>
          <w:numId w:val="0"/>
        </w:numPr>
        <w:ind w:left="450" w:hanging="360"/>
      </w:pPr>
    </w:p>
    <w:p w14:paraId="44871534" w14:textId="4628D3BD" w:rsidR="005B4F6A" w:rsidRPr="00F44DC4" w:rsidRDefault="005B4F6A" w:rsidP="005C7300">
      <w:pPr>
        <w:pStyle w:val="Heading2"/>
        <w:rPr>
          <w:b/>
          <w:bCs/>
        </w:rPr>
      </w:pPr>
      <w:r w:rsidRPr="00F44DC4">
        <w:rPr>
          <w:b/>
          <w:bCs/>
        </w:rPr>
        <w:lastRenderedPageBreak/>
        <w:t>Ventilation and Thermal Management</w:t>
      </w:r>
    </w:p>
    <w:p w14:paraId="0D4541B0" w14:textId="77777777" w:rsidR="005B4F6A" w:rsidRPr="005B4F6A" w:rsidRDefault="005B4F6A" w:rsidP="000F36A3">
      <w:pPr>
        <w:pStyle w:val="11Head-Bullet"/>
      </w:pPr>
      <w:r w:rsidRPr="005B4F6A">
        <w:rPr>
          <w:b/>
          <w:color w:val="121212"/>
        </w:rPr>
        <w:t>Louvers</w:t>
      </w:r>
      <w:r w:rsidRPr="005B4F6A">
        <w:rPr>
          <w:b/>
        </w:rPr>
        <w:t xml:space="preserve"> and Filtration:</w:t>
      </w:r>
      <w:r w:rsidRPr="005B4F6A">
        <w:t xml:space="preserve"> Ventilation louvers shall be equipped with 2-inch MERV 5 fiberglass filters. Filters must be replaceable while the bank is energized without exposure to live parts.</w:t>
      </w:r>
    </w:p>
    <w:p w14:paraId="34F5AF97" w14:textId="77777777" w:rsidR="005B4F6A" w:rsidRPr="005B4F6A" w:rsidRDefault="005B4F6A" w:rsidP="000F36A3">
      <w:pPr>
        <w:pStyle w:val="11Head-Bullet"/>
      </w:pPr>
      <w:r w:rsidRPr="005B4F6A">
        <w:rPr>
          <w:b/>
          <w:color w:val="121212"/>
        </w:rPr>
        <w:t>Hardware</w:t>
      </w:r>
      <w:r w:rsidRPr="005B4F6A">
        <w:rPr>
          <w:b/>
        </w:rPr>
        <w:t>:</w:t>
      </w:r>
      <w:r w:rsidRPr="005B4F6A">
        <w:t xml:space="preserve"> All fasteners and hardware, internal and external, shall be stainless steel. No externally accessible hardware shall support high-voltage components or operating mechanisms.</w:t>
      </w:r>
    </w:p>
    <w:p w14:paraId="505E059A" w14:textId="77777777" w:rsidR="005B4F6A" w:rsidRPr="005B4F6A" w:rsidRDefault="005B4F6A" w:rsidP="000F36A3">
      <w:pPr>
        <w:pStyle w:val="11Head-Bullet"/>
      </w:pPr>
      <w:r w:rsidRPr="005B4F6A">
        <w:rPr>
          <w:b/>
          <w:color w:val="121212"/>
        </w:rPr>
        <w:t>Environmental</w:t>
      </w:r>
      <w:r w:rsidRPr="005B4F6A">
        <w:rPr>
          <w:b/>
        </w:rPr>
        <w:t xml:space="preserve"> Control:</w:t>
      </w:r>
      <w:r w:rsidRPr="005B4F6A">
        <w:t xml:space="preserve"> Thermostatically controlled strip heaters shall be provided in all non-ventilated compartments. Forced-air cooling fans shall be provided when required by thermal design.</w:t>
      </w:r>
    </w:p>
    <w:p w14:paraId="4209C54E" w14:textId="77777777" w:rsidR="005B4F6A" w:rsidRDefault="005B4F6A" w:rsidP="000F36A3">
      <w:pPr>
        <w:pStyle w:val="11Head-Bullet"/>
      </w:pPr>
      <w:r w:rsidRPr="005B4F6A">
        <w:rPr>
          <w:b/>
          <w:color w:val="121212"/>
        </w:rPr>
        <w:t>Calculations</w:t>
      </w:r>
      <w:r w:rsidRPr="005B4F6A">
        <w:rPr>
          <w:b/>
        </w:rPr>
        <w:t>:</w:t>
      </w:r>
      <w:r w:rsidRPr="005B4F6A">
        <w:t xml:space="preserve"> Temperature rise calculations shall be provided by the manufacturer upon request.</w:t>
      </w:r>
    </w:p>
    <w:p w14:paraId="0BE30B72" w14:textId="4175FC2E" w:rsidR="005B4F6A" w:rsidRPr="00F44DC4" w:rsidRDefault="005B4F6A" w:rsidP="005C7300">
      <w:pPr>
        <w:pStyle w:val="Heading2"/>
        <w:rPr>
          <w:b/>
          <w:bCs/>
        </w:rPr>
      </w:pPr>
      <w:r w:rsidRPr="00F44DC4">
        <w:rPr>
          <w:b/>
          <w:bCs/>
        </w:rPr>
        <w:t>Grounding and Labeling</w:t>
      </w:r>
    </w:p>
    <w:p w14:paraId="203ABA2E" w14:textId="77777777" w:rsidR="005B4F6A" w:rsidRPr="005B4F6A" w:rsidRDefault="005B4F6A" w:rsidP="000F36A3">
      <w:pPr>
        <w:pStyle w:val="11Head-Bullet"/>
      </w:pPr>
      <w:r w:rsidRPr="005B4F6A">
        <w:rPr>
          <w:b/>
          <w:color w:val="121212"/>
        </w:rPr>
        <w:t>Ground</w:t>
      </w:r>
      <w:r w:rsidRPr="005B4F6A">
        <w:rPr>
          <w:b/>
        </w:rPr>
        <w:t xml:space="preserve"> Bus:</w:t>
      </w:r>
      <w:r w:rsidRPr="005B4F6A">
        <w:t xml:space="preserve"> A continuous 1/4" x 2" tin-plated copper ground bus shall span the full width of the enclosure.</w:t>
      </w:r>
    </w:p>
    <w:p w14:paraId="08053F2C" w14:textId="453DC1CA" w:rsidR="005B4F6A" w:rsidRPr="005B4F6A" w:rsidRDefault="005B4F6A" w:rsidP="000F36A3">
      <w:pPr>
        <w:pStyle w:val="11Head-Bullet"/>
      </w:pPr>
      <w:r w:rsidRPr="005B4F6A">
        <w:rPr>
          <w:b/>
          <w:color w:val="121212"/>
        </w:rPr>
        <w:t>Safety</w:t>
      </w:r>
      <w:r w:rsidRPr="005B4F6A">
        <w:rPr>
          <w:b/>
        </w:rPr>
        <w:t xml:space="preserve"> Labels:</w:t>
      </w:r>
      <w:r w:rsidRPr="005B4F6A">
        <w:t xml:space="preserve"> Self-adhesive vinyl warning signs complying with ANSI Z535.4-R2023 shall be applied to each door.</w:t>
      </w:r>
    </w:p>
    <w:p w14:paraId="4C5520E6" w14:textId="77777777" w:rsidR="005B4F6A" w:rsidRPr="005B4F6A" w:rsidRDefault="005B4F6A" w:rsidP="000F36A3">
      <w:pPr>
        <w:pStyle w:val="11Head-Bullet"/>
      </w:pPr>
      <w:r w:rsidRPr="005B4F6A">
        <w:rPr>
          <w:b/>
          <w:color w:val="121212"/>
        </w:rPr>
        <w:t>Nameplate</w:t>
      </w:r>
      <w:r w:rsidRPr="005B4F6A">
        <w:rPr>
          <w:b/>
        </w:rPr>
        <w:t>:</w:t>
      </w:r>
      <w:r w:rsidRPr="005B4F6A">
        <w:t xml:space="preserve"> A riveted, anodized steel nameplate shall be provided, including:</w:t>
      </w:r>
    </w:p>
    <w:p w14:paraId="773737CA" w14:textId="76A869B9" w:rsidR="00E11110" w:rsidRDefault="00E11110" w:rsidP="00510113">
      <w:pPr>
        <w:pStyle w:val="11Head-Bullet"/>
        <w:numPr>
          <w:ilvl w:val="1"/>
          <w:numId w:val="5"/>
        </w:numPr>
      </w:pPr>
      <w:r>
        <w:t>Simplified one-line diagram of each branch</w:t>
      </w:r>
    </w:p>
    <w:p w14:paraId="78DBEDF2" w14:textId="35ECDB0A" w:rsidR="005B4F6A" w:rsidRPr="005B4F6A" w:rsidRDefault="005B4F6A" w:rsidP="00510113">
      <w:pPr>
        <w:pStyle w:val="11Head-Bullet"/>
        <w:numPr>
          <w:ilvl w:val="1"/>
          <w:numId w:val="5"/>
        </w:numPr>
      </w:pPr>
      <w:r w:rsidRPr="005B4F6A">
        <w:t>Nominal and Maximum System Voltage</w:t>
      </w:r>
    </w:p>
    <w:p w14:paraId="5364931D" w14:textId="08B52382" w:rsidR="005D7D08" w:rsidRDefault="005D7D08" w:rsidP="00510113">
      <w:pPr>
        <w:pStyle w:val="11Head-Bullet"/>
        <w:numPr>
          <w:ilvl w:val="1"/>
          <w:numId w:val="5"/>
        </w:numPr>
      </w:pPr>
      <w:r>
        <w:t>Frequency</w:t>
      </w:r>
    </w:p>
    <w:p w14:paraId="28444750" w14:textId="2DEE4B16" w:rsidR="005B4F6A" w:rsidRPr="005B4F6A" w:rsidRDefault="00336A18" w:rsidP="00510113">
      <w:pPr>
        <w:pStyle w:val="11Head-Bullet"/>
        <w:numPr>
          <w:ilvl w:val="1"/>
          <w:numId w:val="5"/>
        </w:numPr>
      </w:pPr>
      <w:r>
        <w:t xml:space="preserve">Withstand and </w:t>
      </w:r>
      <w:r w:rsidR="005B4F6A" w:rsidRPr="005B4F6A">
        <w:t>BIL Rating</w:t>
      </w:r>
    </w:p>
    <w:p w14:paraId="5E709F34" w14:textId="1025F59B" w:rsidR="005B4F6A" w:rsidRDefault="00336A18" w:rsidP="00510113">
      <w:pPr>
        <w:pStyle w:val="11Head-Bullet"/>
        <w:numPr>
          <w:ilvl w:val="1"/>
          <w:numId w:val="5"/>
        </w:numPr>
      </w:pPr>
      <w:r>
        <w:t xml:space="preserve">Total </w:t>
      </w:r>
      <w:r w:rsidR="00A372C7" w:rsidRPr="00C33725">
        <w:t>Reactive Power Rating</w:t>
      </w:r>
      <w:r w:rsidR="007917AE">
        <w:t xml:space="preserve"> of </w:t>
      </w:r>
      <w:r w:rsidR="0076574C">
        <w:t>Capacitor bank</w:t>
      </w:r>
    </w:p>
    <w:p w14:paraId="1AAAEFDB" w14:textId="61879DBA" w:rsidR="00336A18" w:rsidRDefault="00336A18" w:rsidP="00510113">
      <w:pPr>
        <w:pStyle w:val="11Head-Bullet"/>
        <w:numPr>
          <w:ilvl w:val="1"/>
          <w:numId w:val="5"/>
        </w:numPr>
      </w:pPr>
      <w:r>
        <w:t xml:space="preserve">Individual </w:t>
      </w:r>
      <w:r w:rsidR="00E6244B">
        <w:t xml:space="preserve">Stage </w:t>
      </w:r>
      <w:r w:rsidR="00B57BDA">
        <w:t>Ratings</w:t>
      </w:r>
    </w:p>
    <w:p w14:paraId="0160E525" w14:textId="2C6A53CA" w:rsidR="00B56D6A" w:rsidRDefault="00B56D6A" w:rsidP="00510113">
      <w:pPr>
        <w:pStyle w:val="11Head-Bullet"/>
        <w:numPr>
          <w:ilvl w:val="2"/>
          <w:numId w:val="5"/>
        </w:numPr>
      </w:pPr>
      <w:r>
        <w:t>ting, Current Rating)</w:t>
      </w:r>
    </w:p>
    <w:p w14:paraId="229003CC" w14:textId="30B7E3C9" w:rsidR="00B57BDA" w:rsidRDefault="00B57BDA" w:rsidP="00510113">
      <w:pPr>
        <w:pStyle w:val="11Head-Bullet"/>
        <w:numPr>
          <w:ilvl w:val="2"/>
          <w:numId w:val="5"/>
        </w:numPr>
      </w:pPr>
      <w:r>
        <w:t>Capacitor ratings</w:t>
      </w:r>
      <w:r w:rsidR="00D20CEE">
        <w:t xml:space="preserve"> (kvar, frequency, voltage)</w:t>
      </w:r>
    </w:p>
    <w:p w14:paraId="1861F6E4" w14:textId="04162CDD" w:rsidR="00643D17" w:rsidRDefault="00643D17" w:rsidP="00510113">
      <w:pPr>
        <w:pStyle w:val="11Head-Bullet"/>
        <w:numPr>
          <w:ilvl w:val="2"/>
          <w:numId w:val="5"/>
        </w:numPr>
      </w:pPr>
      <w:r>
        <w:t>Fuse ratings</w:t>
      </w:r>
    </w:p>
    <w:p w14:paraId="271F83CD" w14:textId="5A5E20B8" w:rsidR="00557DFB" w:rsidRDefault="00557DFB" w:rsidP="00510113">
      <w:pPr>
        <w:pStyle w:val="11Head-Bullet"/>
        <w:numPr>
          <w:ilvl w:val="2"/>
          <w:numId w:val="5"/>
        </w:numPr>
      </w:pPr>
      <w:r>
        <w:t>Transient Inrush reactor ratings</w:t>
      </w:r>
    </w:p>
    <w:p w14:paraId="406B2FF2" w14:textId="77777777" w:rsidR="00AF5CDD" w:rsidRDefault="00D70FFF" w:rsidP="006577F6">
      <w:pPr>
        <w:pStyle w:val="Heading1"/>
      </w:pPr>
      <w:r>
        <w:t>INCOMING POWER CONNECTION</w:t>
      </w:r>
    </w:p>
    <w:p w14:paraId="76D4317B" w14:textId="5D5FD495" w:rsidR="00A1766E" w:rsidRPr="00A1766E" w:rsidRDefault="00A1766E" w:rsidP="00AF5CDD">
      <w:pPr>
        <w:pStyle w:val="Heading2"/>
      </w:pPr>
      <w:r w:rsidRPr="00A1766E">
        <w:t>The capacitor bank shall be designed to accommodate the specific primary power connection requirements of the facility. For wind farm projects, where site-specific interconnect requirements vary, the customer shall specify one of the following methods for the incoming power connection:</w:t>
      </w:r>
    </w:p>
    <w:p w14:paraId="457B39CA" w14:textId="77777777" w:rsidR="00A1766E" w:rsidRPr="00A1766E" w:rsidRDefault="00A1766E" w:rsidP="00AF5CDD">
      <w:pPr>
        <w:pStyle w:val="11Head-Bullet"/>
      </w:pPr>
      <w:r w:rsidRPr="00A1766E">
        <w:rPr>
          <w:b/>
          <w:bCs/>
        </w:rPr>
        <w:t>Roof Bushings</w:t>
      </w:r>
      <w:r w:rsidRPr="00A1766E">
        <w:t xml:space="preserve">: The unit shall be equipped with appropriately rated roof-mounted bushings for overhead </w:t>
      </w:r>
      <w:proofErr w:type="gramStart"/>
      <w:r w:rsidRPr="00A1766E">
        <w:t>line</w:t>
      </w:r>
      <w:proofErr w:type="gramEnd"/>
      <w:r w:rsidRPr="00A1766E">
        <w:t xml:space="preserve"> or bus </w:t>
      </w:r>
      <w:proofErr w:type="gramStart"/>
      <w:r w:rsidRPr="00A1766E">
        <w:t>connection</w:t>
      </w:r>
      <w:proofErr w:type="gramEnd"/>
      <w:r w:rsidRPr="00A1766E">
        <w:t>.</w:t>
      </w:r>
    </w:p>
    <w:p w14:paraId="2364C8D6" w14:textId="77777777" w:rsidR="00A1766E" w:rsidRPr="00A1766E" w:rsidRDefault="00A1766E" w:rsidP="00AF5CDD">
      <w:pPr>
        <w:pStyle w:val="11Head-Bullet"/>
      </w:pPr>
      <w:r w:rsidRPr="00A1766E">
        <w:rPr>
          <w:b/>
          <w:bCs/>
        </w:rPr>
        <w:t>Cable Entry</w:t>
      </w:r>
      <w:r w:rsidRPr="00A1766E">
        <w:t>: Provisions shall be made for power cable entry from the top, side, back, or bottom of the incoming compartment as specified by the customer.</w:t>
      </w:r>
    </w:p>
    <w:p w14:paraId="6C797409" w14:textId="350AEF4E" w:rsidR="00A1766E" w:rsidRPr="00A1766E" w:rsidRDefault="00A1766E" w:rsidP="00AF5CDD">
      <w:pPr>
        <w:pStyle w:val="11Head-Bullet"/>
      </w:pPr>
      <w:r w:rsidRPr="00A1766E">
        <w:rPr>
          <w:b/>
          <w:bCs/>
        </w:rPr>
        <w:t>Terminal Requirements</w:t>
      </w:r>
      <w:r w:rsidRPr="00A1766E">
        <w:t>: The incoming compartment shall feature NEMA two-hole</w:t>
      </w:r>
      <w:r w:rsidR="007B4A35">
        <w:t xml:space="preserve"> or four-hole</w:t>
      </w:r>
      <w:r w:rsidRPr="00A1766E">
        <w:t xml:space="preserve"> bolt patterns on bus </w:t>
      </w:r>
      <w:proofErr w:type="gramStart"/>
      <w:r w:rsidRPr="00A1766E">
        <w:t>bar</w:t>
      </w:r>
      <w:proofErr w:type="gramEnd"/>
      <w:r w:rsidRPr="00A1766E">
        <w:t xml:space="preserve"> to facilitate secure cable or bus termination.</w:t>
      </w:r>
    </w:p>
    <w:p w14:paraId="0A656340" w14:textId="77777777" w:rsidR="00A1766E" w:rsidRPr="00A1766E" w:rsidRDefault="00A1766E" w:rsidP="00AF5CDD">
      <w:pPr>
        <w:pStyle w:val="11Head-Bullet"/>
      </w:pPr>
      <w:r w:rsidRPr="00A1766E">
        <w:rPr>
          <w:b/>
          <w:bCs/>
        </w:rPr>
        <w:t>Integration</w:t>
      </w:r>
      <w:r w:rsidRPr="00A1766E">
        <w:t>: All incoming connections shall be housed within a fully integrated, compartmentalized assembly, ensuring complete separation from the protection and control sections.</w:t>
      </w:r>
    </w:p>
    <w:p w14:paraId="3C8580C6" w14:textId="55DD06BE" w:rsidR="00D1615B" w:rsidRPr="00D1615B" w:rsidRDefault="00D1615B" w:rsidP="00D1615B">
      <w:pPr>
        <w:pStyle w:val="Heading1"/>
      </w:pPr>
      <w:r w:rsidRPr="00D1615B">
        <w:t>LOAD INTERRUPTER / AIR DISCONNECT SWITCH</w:t>
      </w:r>
    </w:p>
    <w:p w14:paraId="68A9F0A3" w14:textId="15AE00C6" w:rsidR="00D1615B" w:rsidRDefault="00D1615B" w:rsidP="005C7300">
      <w:pPr>
        <w:pStyle w:val="Heading2"/>
      </w:pPr>
      <w:r w:rsidRPr="00D1615B">
        <w:rPr>
          <w:b/>
        </w:rPr>
        <w:t>Switching Technology</w:t>
      </w:r>
      <w:r>
        <w:rPr>
          <w:b/>
        </w:rPr>
        <w:br/>
      </w:r>
      <w:r w:rsidRPr="00D1615B">
        <w:t xml:space="preserve">The </w:t>
      </w:r>
      <w:r w:rsidR="00C66FDC">
        <w:t>capacitor bank</w:t>
      </w:r>
      <w:r w:rsidRPr="00D1615B">
        <w:t xml:space="preserve"> shall be equipped with an external, chain-operated load-interrupting switch. Current interruption shall be achieved through a dual arc-extinguishing system utilizing a combination of auto-pneumatic air-blast and hard-gas nozzle principles.</w:t>
      </w:r>
    </w:p>
    <w:p w14:paraId="7DDFC5C2" w14:textId="77777777" w:rsidR="007028C8" w:rsidRDefault="007028C8" w:rsidP="007028C8"/>
    <w:p w14:paraId="3B668595" w14:textId="77777777" w:rsidR="007028C8" w:rsidRPr="007028C8" w:rsidRDefault="007028C8" w:rsidP="007028C8"/>
    <w:p w14:paraId="5A818CB5" w14:textId="272F3068" w:rsidR="00D1615B" w:rsidRPr="00620972" w:rsidRDefault="00D1615B" w:rsidP="005C7300">
      <w:pPr>
        <w:pStyle w:val="Heading2"/>
        <w:rPr>
          <w:b/>
          <w:bCs/>
        </w:rPr>
      </w:pPr>
      <w:r w:rsidRPr="00620972">
        <w:rPr>
          <w:b/>
          <w:bCs/>
        </w:rPr>
        <w:lastRenderedPageBreak/>
        <w:t>Electrical Ratings</w:t>
      </w:r>
    </w:p>
    <w:p w14:paraId="36FFE062" w14:textId="77777777" w:rsidR="00D1615B" w:rsidRPr="00D1615B" w:rsidRDefault="00D1615B" w:rsidP="000F36A3">
      <w:pPr>
        <w:pStyle w:val="11Head-Bullet"/>
      </w:pPr>
      <w:r w:rsidRPr="006C3C24">
        <w:rPr>
          <w:b/>
          <w:bCs/>
          <w:color w:val="121212"/>
        </w:rPr>
        <w:t>Continuous</w:t>
      </w:r>
      <w:r w:rsidRPr="006C3C24">
        <w:rPr>
          <w:b/>
          <w:bCs/>
        </w:rPr>
        <w:t xml:space="preserve"> C</w:t>
      </w:r>
      <w:r w:rsidRPr="00D1615B">
        <w:rPr>
          <w:b/>
          <w:bCs/>
        </w:rPr>
        <w:t>urrent:</w:t>
      </w:r>
      <w:r w:rsidRPr="00D1615B">
        <w:t xml:space="preserve"> The switch shall be rated for a minimum of 135% of the bank's nominal current rating.</w:t>
      </w:r>
    </w:p>
    <w:p w14:paraId="114FE745" w14:textId="77777777" w:rsidR="00D1615B" w:rsidRPr="00D1615B" w:rsidRDefault="00D1615B" w:rsidP="000F36A3">
      <w:pPr>
        <w:pStyle w:val="11Head-Bullet"/>
      </w:pPr>
      <w:r w:rsidRPr="006C3C24">
        <w:rPr>
          <w:b/>
          <w:bCs/>
          <w:color w:val="121212"/>
        </w:rPr>
        <w:t>Momentary</w:t>
      </w:r>
      <w:r w:rsidRPr="006C3C24">
        <w:rPr>
          <w:b/>
          <w:bCs/>
        </w:rPr>
        <w:t xml:space="preserve"> </w:t>
      </w:r>
      <w:r w:rsidRPr="00D1615B">
        <w:rPr>
          <w:b/>
          <w:bCs/>
        </w:rPr>
        <w:t>Rating:</w:t>
      </w:r>
      <w:r w:rsidRPr="00D1615B">
        <w:t xml:space="preserve"> The switch shall have a 40-kA RMS asymmetrical momentary (withstand) rating.</w:t>
      </w:r>
    </w:p>
    <w:p w14:paraId="41680979" w14:textId="2E221773" w:rsidR="00D1615B" w:rsidRPr="00620972" w:rsidRDefault="00D1615B" w:rsidP="005C7300">
      <w:pPr>
        <w:pStyle w:val="Heading2"/>
        <w:rPr>
          <w:b/>
          <w:bCs/>
        </w:rPr>
      </w:pPr>
      <w:r w:rsidRPr="00620972">
        <w:rPr>
          <w:b/>
          <w:bCs/>
        </w:rPr>
        <w:t>Safety and Interlocking</w:t>
      </w:r>
    </w:p>
    <w:p w14:paraId="4F4044C4" w14:textId="493763C1" w:rsidR="00D1615B" w:rsidRPr="00D1615B" w:rsidRDefault="00D1615B" w:rsidP="000F36A3">
      <w:pPr>
        <w:pStyle w:val="11Head-Bullet"/>
      </w:pPr>
      <w:r w:rsidRPr="00D1615B">
        <w:rPr>
          <w:b/>
          <w:bCs/>
        </w:rPr>
        <w:t>Operational Interlock:</w:t>
      </w:r>
      <w:r w:rsidRPr="00D1615B">
        <w:t xml:space="preserve"> The air disconnect switch shall be mechanically or electrically interlocked with the vacuum switches</w:t>
      </w:r>
      <w:r w:rsidR="000A57EF">
        <w:t>/B</w:t>
      </w:r>
      <w:r w:rsidR="003F0AED">
        <w:t>reaker</w:t>
      </w:r>
      <w:r w:rsidRPr="00D1615B">
        <w:t xml:space="preserve"> to prevent the disconnect from being operated while the reactor stage(s) are energized.</w:t>
      </w:r>
    </w:p>
    <w:p w14:paraId="6F9AFCED" w14:textId="77777777" w:rsidR="00D1615B" w:rsidRPr="00D1615B" w:rsidRDefault="00D1615B" w:rsidP="000F36A3">
      <w:pPr>
        <w:pStyle w:val="11Head-Bullet"/>
      </w:pPr>
      <w:r w:rsidRPr="00D1615B">
        <w:rPr>
          <w:b/>
          <w:bCs/>
        </w:rPr>
        <w:t>Security:</w:t>
      </w:r>
      <w:r w:rsidRPr="00D1615B">
        <w:t xml:space="preserve"> The operating mechanism shall be padlockable in both the fully open and fully closed positions.</w:t>
      </w:r>
    </w:p>
    <w:p w14:paraId="27E5F541" w14:textId="500E5721" w:rsidR="00D1615B" w:rsidRPr="00620972" w:rsidRDefault="00D1615B" w:rsidP="005C7300">
      <w:pPr>
        <w:pStyle w:val="Heading2"/>
        <w:rPr>
          <w:b/>
          <w:bCs/>
        </w:rPr>
      </w:pPr>
      <w:r w:rsidRPr="00620972">
        <w:rPr>
          <w:b/>
          <w:bCs/>
        </w:rPr>
        <w:t>Enclosure and Compartmentalization</w:t>
      </w:r>
    </w:p>
    <w:p w14:paraId="3BFE7A7B" w14:textId="77777777" w:rsidR="00D1615B" w:rsidRPr="00D1615B" w:rsidRDefault="00D1615B" w:rsidP="000F36A3">
      <w:pPr>
        <w:pStyle w:val="11Head-Bullet"/>
      </w:pPr>
      <w:r w:rsidRPr="00D1615B">
        <w:rPr>
          <w:b/>
          <w:bCs/>
        </w:rPr>
        <w:t>Isolation:</w:t>
      </w:r>
      <w:r w:rsidRPr="00D1615B">
        <w:t xml:space="preserve"> The air disconnect switch shall be housed in a dedicated compartment, physically isolated from the shunt reactor and low-voltage control compartments by grounded steel barriers.</w:t>
      </w:r>
    </w:p>
    <w:p w14:paraId="2CAD9F8B" w14:textId="3EC27887" w:rsidR="00D1615B" w:rsidRPr="00D1615B" w:rsidRDefault="00D1615B" w:rsidP="000F36A3">
      <w:pPr>
        <w:pStyle w:val="11Head-Bullet"/>
      </w:pPr>
      <w:r w:rsidRPr="00D1615B">
        <w:rPr>
          <w:b/>
          <w:bCs/>
        </w:rPr>
        <w:t>Secondary Protection:</w:t>
      </w:r>
      <w:r w:rsidRPr="00D1615B">
        <w:t xml:space="preserve"> In addition to the exterior enclosure door, an internal protective </w:t>
      </w:r>
      <w:r w:rsidR="00465498">
        <w:t xml:space="preserve">hinged </w:t>
      </w:r>
      <w:r w:rsidR="004B2DA5">
        <w:t>barrier</w:t>
      </w:r>
      <w:r w:rsidRPr="00D1615B">
        <w:t xml:space="preserve"> </w:t>
      </w:r>
      <w:r w:rsidR="00E168B5" w:rsidRPr="00D1615B">
        <w:t>sh</w:t>
      </w:r>
      <w:r w:rsidR="00831F6E">
        <w:t>all</w:t>
      </w:r>
      <w:r w:rsidRPr="00D1615B">
        <w:t xml:space="preserve"> be provided. This </w:t>
      </w:r>
      <w:r w:rsidR="00831F6E">
        <w:t>barrier</w:t>
      </w:r>
      <w:r w:rsidRPr="00D1615B">
        <w:t xml:space="preserve"> must be in place to prevent accidental contact with live parts when the exterior door is opened.</w:t>
      </w:r>
    </w:p>
    <w:p w14:paraId="4F325902" w14:textId="77777777" w:rsidR="000B759B" w:rsidRPr="00FF351C" w:rsidRDefault="000B759B" w:rsidP="000B759B">
      <w:pPr>
        <w:pStyle w:val="Heading1"/>
      </w:pPr>
      <w:r w:rsidRPr="00FF351C">
        <w:t>GROUND SWITCH</w:t>
      </w:r>
    </w:p>
    <w:p w14:paraId="598D8DC6" w14:textId="77777777" w:rsidR="000B759B" w:rsidRPr="00FF351C" w:rsidRDefault="000B759B" w:rsidP="005C7300">
      <w:pPr>
        <w:pStyle w:val="Heading2"/>
      </w:pPr>
      <w:r w:rsidRPr="00FF351C">
        <w:rPr>
          <w:b/>
        </w:rPr>
        <w:t>Functional Requirements</w:t>
      </w:r>
      <w:r>
        <w:rPr>
          <w:b/>
        </w:rPr>
        <w:br/>
      </w:r>
      <w:r w:rsidRPr="00FF351C">
        <w:t>An externally operated ground switch shall be provided to effectively ground the load-side terminals of the air-interrupter switch. This ensures that the shunt reactor and associated internal components are discharged and maintained at ground potential during maintenance.</w:t>
      </w:r>
    </w:p>
    <w:p w14:paraId="2684BBEC" w14:textId="77777777" w:rsidR="000B759B" w:rsidRPr="00620972" w:rsidRDefault="000B759B" w:rsidP="005C7300">
      <w:pPr>
        <w:pStyle w:val="Heading2"/>
        <w:rPr>
          <w:b/>
          <w:bCs/>
        </w:rPr>
      </w:pPr>
      <w:r w:rsidRPr="00620972">
        <w:rPr>
          <w:b/>
          <w:bCs/>
        </w:rPr>
        <w:t>Security and Compliance</w:t>
      </w:r>
    </w:p>
    <w:p w14:paraId="4D2A2227" w14:textId="77777777" w:rsidR="000B759B" w:rsidRPr="00FF351C" w:rsidRDefault="000B759B" w:rsidP="000F36A3">
      <w:pPr>
        <w:pStyle w:val="11Head-Bullet"/>
      </w:pPr>
      <w:r w:rsidRPr="00A3347A">
        <w:rPr>
          <w:b/>
          <w:bCs/>
          <w:color w:val="121212"/>
        </w:rPr>
        <w:t>Locking</w:t>
      </w:r>
      <w:r w:rsidRPr="00A3347A">
        <w:rPr>
          <w:b/>
          <w:bCs/>
        </w:rPr>
        <w:t>:</w:t>
      </w:r>
      <w:r w:rsidRPr="00FF351C">
        <w:t xml:space="preserve"> The ground switch operating mechanism shall be padlockable in both the fully open and fully closed positions.</w:t>
      </w:r>
    </w:p>
    <w:p w14:paraId="646D0EB4" w14:textId="77777777" w:rsidR="000B759B" w:rsidRPr="00A3347A" w:rsidRDefault="000B759B" w:rsidP="000F36A3">
      <w:pPr>
        <w:pStyle w:val="11Head-Bullet"/>
        <w:rPr>
          <w:color w:val="121212"/>
        </w:rPr>
      </w:pPr>
      <w:r w:rsidRPr="00A3347A">
        <w:rPr>
          <w:b/>
          <w:bCs/>
          <w:color w:val="121212"/>
        </w:rPr>
        <w:t>Standards:</w:t>
      </w:r>
      <w:r w:rsidRPr="00A3347A">
        <w:rPr>
          <w:color w:val="121212"/>
        </w:rPr>
        <w:t xml:space="preserve"> The switch shall be designed and tested in accordance with applicable ANSI/IEEE standards. Certified test reports shall be furnished to the owner upon request.</w:t>
      </w:r>
    </w:p>
    <w:p w14:paraId="46D9F5BE" w14:textId="77777777" w:rsidR="000B759B" w:rsidRPr="00FF351C" w:rsidRDefault="000B759B" w:rsidP="005C7300">
      <w:pPr>
        <w:pStyle w:val="Heading2"/>
      </w:pPr>
      <w:r w:rsidRPr="00C374AB">
        <w:rPr>
          <w:b/>
          <w:bCs/>
        </w:rPr>
        <w:t xml:space="preserve">Safety </w:t>
      </w:r>
      <w:r w:rsidRPr="00C374AB">
        <w:rPr>
          <w:b/>
          <w:bCs/>
          <w:color w:val="auto"/>
        </w:rPr>
        <w:t>Interlocking</w:t>
      </w:r>
      <w:r>
        <w:rPr>
          <w:b/>
          <w:bCs/>
        </w:rPr>
        <w:br/>
      </w:r>
      <w:r w:rsidRPr="00A3347A">
        <w:t>The ground switch shall be mechanically interlocked with the main air-interrupter switch</w:t>
      </w:r>
      <w:r w:rsidRPr="00FF351C">
        <w:t>. This interlock must positively prevent the ground switch from being closed whenever the air-interrupter switch is in the closed position, and conversely, prevent the air-interrupter switch from closing while the ground switch is engaged.</w:t>
      </w:r>
    </w:p>
    <w:p w14:paraId="236CA6AA" w14:textId="77777777" w:rsidR="009F496E" w:rsidRDefault="009F496E" w:rsidP="009F496E">
      <w:pPr>
        <w:pStyle w:val="Heading1"/>
      </w:pPr>
      <w:r w:rsidRPr="009F496E">
        <w:t>MAIN INCOMING FUSES</w:t>
      </w:r>
    </w:p>
    <w:p w14:paraId="4CD7C2D9" w14:textId="4D47A588" w:rsidR="00455594" w:rsidRPr="00455594" w:rsidRDefault="00455594" w:rsidP="00455594">
      <w:pPr>
        <w:pStyle w:val="Heading2"/>
      </w:pPr>
      <w:r w:rsidRPr="00455594">
        <w:rPr>
          <w:b/>
          <w:bCs/>
        </w:rPr>
        <w:t>Functional Configuration</w:t>
      </w:r>
      <w:r>
        <w:rPr>
          <w:b/>
          <w:bCs/>
        </w:rPr>
        <w:br/>
      </w:r>
      <w:r w:rsidRPr="00455594">
        <w:t xml:space="preserve">The </w:t>
      </w:r>
      <w:r w:rsidR="00A30178">
        <w:t>capacitor bank</w:t>
      </w:r>
      <w:r w:rsidRPr="00455594">
        <w:t xml:space="preserve"> shall be equipped with SIBA medium-voltage current-limiting fuses for primary overcurrent and short-circuit protection.</w:t>
      </w:r>
    </w:p>
    <w:p w14:paraId="0C5AEE1B" w14:textId="77777777" w:rsidR="00455594" w:rsidRPr="00455594" w:rsidRDefault="00455594" w:rsidP="006449E9">
      <w:pPr>
        <w:pStyle w:val="11Head-Bullet"/>
      </w:pPr>
      <w:r w:rsidRPr="00455594">
        <w:rPr>
          <w:b/>
          <w:bCs/>
        </w:rPr>
        <w:t>Placement:</w:t>
      </w:r>
      <w:r w:rsidRPr="00455594">
        <w:t xml:space="preserve"> Fuses shall be electrically positioned on the load side of the air-disconnect switch.</w:t>
      </w:r>
    </w:p>
    <w:p w14:paraId="176D2B2C" w14:textId="77777777" w:rsidR="00455594" w:rsidRPr="00455594" w:rsidRDefault="00455594" w:rsidP="006449E9">
      <w:pPr>
        <w:pStyle w:val="11Head-Bullet"/>
      </w:pPr>
      <w:r w:rsidRPr="00455594">
        <w:rPr>
          <w:b/>
          <w:bCs/>
        </w:rPr>
        <w:t>Current Rating:</w:t>
      </w:r>
      <w:r w:rsidRPr="00455594">
        <w:t xml:space="preserve"> The fuse current rating shall be 1.35 times the total fundamental current rating of the bank.</w:t>
      </w:r>
    </w:p>
    <w:p w14:paraId="521DF4A6" w14:textId="7A8797B7" w:rsidR="00455594" w:rsidRPr="00455594" w:rsidRDefault="00455594" w:rsidP="006449E9">
      <w:pPr>
        <w:pStyle w:val="11Head-Bullet"/>
      </w:pPr>
      <w:r w:rsidRPr="00455594">
        <w:rPr>
          <w:b/>
          <w:bCs/>
        </w:rPr>
        <w:t>Voltage Rating:</w:t>
      </w:r>
      <w:r w:rsidRPr="00455594">
        <w:t xml:space="preserve"> The rated voltage (U</w:t>
      </w:r>
      <w:r w:rsidRPr="00093232">
        <w:rPr>
          <w:vertAlign w:val="subscript"/>
        </w:rPr>
        <w:t>n</w:t>
      </w:r>
      <w:r w:rsidRPr="00455594">
        <w:t>) of the fuse must be the next highest voltage range relative to the capacitor voltage and shall not be less than the maximum power-frequency voltage appearing across the fuse under all operating and fault-clearing conditions. Per IEEE 1036, phase-to-phase voltage shall be used for ungrounded-wye banks and phase-to-ground voltage for grounded-wye banks.</w:t>
      </w:r>
    </w:p>
    <w:p w14:paraId="623F70F3" w14:textId="48EBD465" w:rsidR="00455594" w:rsidRPr="00455594" w:rsidRDefault="00455594" w:rsidP="006449E9">
      <w:pPr>
        <w:pStyle w:val="11Head-Bullet"/>
      </w:pPr>
      <w:r w:rsidRPr="00455594">
        <w:rPr>
          <w:b/>
          <w:bCs/>
        </w:rPr>
        <w:t>Sizing:</w:t>
      </w:r>
      <w:r w:rsidRPr="00455594">
        <w:t xml:space="preserve"> The main incoming fuses shall be one DIN size larger than the internal capacitor branch fuses</w:t>
      </w:r>
      <w:r w:rsidR="007B37A1">
        <w:t xml:space="preserve"> where possible</w:t>
      </w:r>
      <w:r w:rsidRPr="00455594">
        <w:t>.</w:t>
      </w:r>
    </w:p>
    <w:p w14:paraId="36DD02A7" w14:textId="4839DC5D" w:rsidR="00455594" w:rsidRPr="00455594" w:rsidRDefault="00455594" w:rsidP="00FF183E">
      <w:pPr>
        <w:pStyle w:val="Heading2"/>
      </w:pPr>
      <w:r w:rsidRPr="00455594">
        <w:rPr>
          <w:b/>
          <w:bCs/>
        </w:rPr>
        <w:lastRenderedPageBreak/>
        <w:t>Remote Monitoring and Blown Fuse Sensing</w:t>
      </w:r>
      <w:r w:rsidR="00FF183E">
        <w:rPr>
          <w:b/>
          <w:bCs/>
        </w:rPr>
        <w:br/>
      </w:r>
      <w:r w:rsidRPr="00455594">
        <w:t>The main incoming fuses shall utilize direct blown fuse sensing for remote monitoring of switching status.</w:t>
      </w:r>
    </w:p>
    <w:p w14:paraId="57BB9B7B" w14:textId="77777777" w:rsidR="00455594" w:rsidRPr="00455594" w:rsidRDefault="00455594" w:rsidP="00FF183E">
      <w:pPr>
        <w:pStyle w:val="11Head-Bullet"/>
      </w:pPr>
      <w:r w:rsidRPr="00455594">
        <w:rPr>
          <w:b/>
          <w:bCs/>
        </w:rPr>
        <w:t>Striker Pin:</w:t>
      </w:r>
      <w:r w:rsidRPr="00455594">
        <w:t xml:space="preserve"> Fuses shall be equipped with an integrated striker pin (force rating of 80N or 120N as appropriate) to provide visual indication of operation and to actuate remote signaling.</w:t>
      </w:r>
    </w:p>
    <w:p w14:paraId="1A357148" w14:textId="77777777" w:rsidR="00AD5BFF" w:rsidRDefault="00455594" w:rsidP="00AD5BFF">
      <w:pPr>
        <w:pStyle w:val="11Head-Bullet"/>
      </w:pPr>
      <w:r w:rsidRPr="00455594">
        <w:rPr>
          <w:b/>
          <w:bCs/>
        </w:rPr>
        <w:t>Microswitch Assembly:</w:t>
      </w:r>
      <w:r w:rsidRPr="00455594">
        <w:t xml:space="preserve"> A SIBA microswitch assembly unit shall be provided for remote monitoring. The assembly shall consist of a flexible Bowden drive that transfers the linear motion of the striker to change-over output contacts rated for 250 </w:t>
      </w:r>
      <w:proofErr w:type="gramStart"/>
      <w:r w:rsidRPr="00455594">
        <w:t>VAC</w:t>
      </w:r>
      <w:proofErr w:type="gramEnd"/>
      <w:r w:rsidRPr="00455594">
        <w:t>, 6A.</w:t>
      </w:r>
    </w:p>
    <w:p w14:paraId="3AC83D38" w14:textId="0F47A562" w:rsidR="00AD5BFF" w:rsidRPr="00AD5BFF" w:rsidRDefault="00AD5BFF" w:rsidP="00AD5BFF">
      <w:pPr>
        <w:pStyle w:val="11Head-Bullet"/>
      </w:pPr>
      <w:r w:rsidRPr="00AD5BFF">
        <w:rPr>
          <w:b/>
          <w:bCs/>
        </w:rPr>
        <w:t>Control System Integration:</w:t>
      </w:r>
      <w:r w:rsidRPr="00AD5BFF">
        <w:t xml:space="preserve"> The microswitch contacts (rated 250 </w:t>
      </w:r>
      <w:proofErr w:type="gramStart"/>
      <w:r w:rsidRPr="00AD5BFF">
        <w:t>VAC</w:t>
      </w:r>
      <w:proofErr w:type="gramEnd"/>
      <w:r w:rsidRPr="00AD5BFF">
        <w:t>, 6A) shall be wired directly to the control and protection system.</w:t>
      </w:r>
    </w:p>
    <w:p w14:paraId="2EE15BA5" w14:textId="610031AE" w:rsidR="00AD5BFF" w:rsidRPr="00AD5BFF" w:rsidRDefault="00AD5BFF" w:rsidP="00AD5BFF">
      <w:pPr>
        <w:pStyle w:val="11Head-Bullet"/>
      </w:pPr>
      <w:r w:rsidRPr="00AD5BFF">
        <w:rPr>
          <w:b/>
          <w:bCs/>
        </w:rPr>
        <w:t>Unbalance Protection:</w:t>
      </w:r>
      <w:r w:rsidRPr="00AD5BFF">
        <w:t xml:space="preserve"> Upon detection of a blown fuse, the protection system shall automatically take the filter bank offline to prevent damage from unbalance operation and to protect remaining system components.</w:t>
      </w:r>
    </w:p>
    <w:p w14:paraId="5603747F" w14:textId="77777777" w:rsidR="00ED7394" w:rsidRPr="00ED7394" w:rsidRDefault="00455594" w:rsidP="00ED7394">
      <w:pPr>
        <w:pStyle w:val="Heading2"/>
      </w:pPr>
      <w:r w:rsidRPr="00AD0653">
        <w:rPr>
          <w:b/>
          <w:bCs/>
        </w:rPr>
        <w:t>Mounting and Mechanical Requirements</w:t>
      </w:r>
    </w:p>
    <w:p w14:paraId="3992E2C7" w14:textId="7EE0FFA4" w:rsidR="00455594" w:rsidRPr="00455594" w:rsidRDefault="00455594" w:rsidP="00ED7394">
      <w:pPr>
        <w:pStyle w:val="11Head-Bullet"/>
      </w:pPr>
      <w:r w:rsidRPr="00455594">
        <w:rPr>
          <w:b/>
          <w:bCs/>
        </w:rPr>
        <w:t>Fuse Clips:</w:t>
      </w:r>
      <w:r w:rsidRPr="00455594">
        <w:t xml:space="preserve"> Fuses shall be removable and mounted using silver</w:t>
      </w:r>
      <w:r w:rsidR="00E34052">
        <w:t xml:space="preserve"> or tin</w:t>
      </w:r>
      <w:r w:rsidRPr="00455594">
        <w:t>-plated high-conductivity copper spring contacts to ensure narrow time-current tolerances.</w:t>
      </w:r>
    </w:p>
    <w:p w14:paraId="5312B0A0" w14:textId="5A680BF8" w:rsidR="00455594" w:rsidRPr="00455594" w:rsidRDefault="00455594" w:rsidP="00ED7394">
      <w:pPr>
        <w:pStyle w:val="11Head-Bullet"/>
      </w:pPr>
      <w:r w:rsidRPr="00455594">
        <w:rPr>
          <w:b/>
          <w:bCs/>
        </w:rPr>
        <w:t>Standard Hardware:</w:t>
      </w:r>
      <w:r w:rsidRPr="00455594">
        <w:t xml:space="preserve"> Mounting shall utilize SIBA spring contacts</w:t>
      </w:r>
      <w:r w:rsidR="00A4569E">
        <w:t>.</w:t>
      </w:r>
    </w:p>
    <w:p w14:paraId="0F0EDD25" w14:textId="77777777" w:rsidR="00455594" w:rsidRPr="00455594" w:rsidRDefault="00455594" w:rsidP="00ED7394">
      <w:pPr>
        <w:pStyle w:val="11Head-Bullet"/>
      </w:pPr>
      <w:r w:rsidRPr="00455594">
        <w:rPr>
          <w:b/>
          <w:bCs/>
        </w:rPr>
        <w:t>Sealing:</w:t>
      </w:r>
      <w:r w:rsidRPr="00455594">
        <w:t xml:space="preserve"> The fuses shall feature a reliable sealing system against humidity, dust, and corrosion, utilizing a durable elastic sealing medium and glazed porcelain to ensure tightness against water vapor ingress.</w:t>
      </w:r>
    </w:p>
    <w:p w14:paraId="484680F3" w14:textId="226851BB" w:rsidR="00455594" w:rsidRPr="00A4569E" w:rsidRDefault="00455594" w:rsidP="00A4569E">
      <w:pPr>
        <w:pStyle w:val="Heading2"/>
        <w:rPr>
          <w:b/>
          <w:bCs/>
        </w:rPr>
      </w:pPr>
      <w:r w:rsidRPr="00A4569E">
        <w:rPr>
          <w:b/>
          <w:bCs/>
        </w:rPr>
        <w:t>Safety and Accessibility</w:t>
      </w:r>
    </w:p>
    <w:p w14:paraId="53CDC012" w14:textId="77777777" w:rsidR="00455594" w:rsidRPr="00455594" w:rsidRDefault="00455594" w:rsidP="00A4569E">
      <w:pPr>
        <w:pStyle w:val="11Head-Bullet"/>
      </w:pPr>
      <w:r w:rsidRPr="00455594">
        <w:rPr>
          <w:b/>
          <w:bCs/>
        </w:rPr>
        <w:t>Compartmentalization:</w:t>
      </w:r>
      <w:r w:rsidRPr="00455594">
        <w:t xml:space="preserve"> Fuses shall be housed in a dedicated compartment, physically separated from high-voltage line-side components by grounded metal barriers.</w:t>
      </w:r>
    </w:p>
    <w:p w14:paraId="174E4B8F" w14:textId="77777777" w:rsidR="00455594" w:rsidRPr="00455594" w:rsidRDefault="00455594" w:rsidP="00A4569E">
      <w:pPr>
        <w:pStyle w:val="11Head-Bullet"/>
      </w:pPr>
      <w:r w:rsidRPr="00455594">
        <w:rPr>
          <w:b/>
          <w:bCs/>
        </w:rPr>
        <w:t>Interlocking:</w:t>
      </w:r>
      <w:r w:rsidRPr="00455594">
        <w:t xml:space="preserve"> The compartment shall be designed so that fuses are accessible only when the main air-disconnect switch is locked in the open (de-energized) position.</w:t>
      </w:r>
    </w:p>
    <w:p w14:paraId="31B55855" w14:textId="77777777" w:rsidR="00455594" w:rsidRPr="00455594" w:rsidRDefault="00455594" w:rsidP="00A4569E">
      <w:pPr>
        <w:pStyle w:val="11Head-Bullet"/>
      </w:pPr>
      <w:r w:rsidRPr="00455594">
        <w:rPr>
          <w:b/>
          <w:bCs/>
        </w:rPr>
        <w:t>Visual Inspection:</w:t>
      </w:r>
      <w:r w:rsidRPr="00455594">
        <w:t xml:space="preserve"> Impact and UV-resistant wide-view windows shall be provided on the enclosure door to allow maintenance personnel to verify the status of the striker pin and blown fuse indicator without de-energizing the bank or opening the door.</w:t>
      </w:r>
    </w:p>
    <w:p w14:paraId="20755ECF" w14:textId="030E40BA" w:rsidR="0022431E" w:rsidRPr="0022431E" w:rsidRDefault="0022431E" w:rsidP="0022431E">
      <w:pPr>
        <w:pStyle w:val="Heading1"/>
      </w:pPr>
      <w:r w:rsidRPr="0022431E">
        <w:t>MAIN CIRCUIT BREAKER (ALTERNATE)</w:t>
      </w:r>
    </w:p>
    <w:p w14:paraId="51C30078" w14:textId="2114CA9A" w:rsidR="0022431E" w:rsidRPr="003440DB" w:rsidRDefault="0022431E" w:rsidP="0022431E">
      <w:pPr>
        <w:pStyle w:val="Heading2"/>
      </w:pPr>
      <w:r w:rsidRPr="0022431E">
        <w:rPr>
          <w:b/>
          <w:bCs/>
        </w:rPr>
        <w:t>General Requirements</w:t>
      </w:r>
      <w:r>
        <w:rPr>
          <w:b/>
          <w:bCs/>
        </w:rPr>
        <w:br/>
      </w:r>
      <w:r w:rsidRPr="0022431E">
        <w:t>For banks with higher reactive power ratings or elevated short-circuit requirements, a medium-voltage vacuum circuit breaker shall be provided as the primary disconnecting and protective device</w:t>
      </w:r>
      <w:r w:rsidR="009F6EA7">
        <w:t xml:space="preserve"> (replaces the air disconnect switch</w:t>
      </w:r>
      <w:r w:rsidR="008722B0">
        <w:t xml:space="preserve"> and main fuses)</w:t>
      </w:r>
      <w:r w:rsidRPr="0022431E">
        <w:t xml:space="preserve">. </w:t>
      </w:r>
      <w:r w:rsidRPr="003440DB">
        <w:t>The breaker shall be an ABB VD4</w:t>
      </w:r>
      <w:r w:rsidR="003440DB" w:rsidRPr="003440DB">
        <w:t xml:space="preserve"> or ABB ADVAC </w:t>
      </w:r>
      <w:r w:rsidRPr="003440DB">
        <w:t xml:space="preserve">(spring-actuated), ABB </w:t>
      </w:r>
      <w:proofErr w:type="gramStart"/>
      <w:r w:rsidRPr="003440DB">
        <w:t xml:space="preserve">AMVAC </w:t>
      </w:r>
      <w:r w:rsidR="003440DB" w:rsidRPr="003440DB">
        <w:t xml:space="preserve"> or</w:t>
      </w:r>
      <w:proofErr w:type="gramEnd"/>
      <w:r w:rsidR="003440DB" w:rsidRPr="003440DB">
        <w:t xml:space="preserve"> ABB VD4-CS </w:t>
      </w:r>
      <w:r w:rsidRPr="003440DB">
        <w:t>(magnetically actuated), or an approved equivalent.</w:t>
      </w:r>
    </w:p>
    <w:p w14:paraId="40F5CA32" w14:textId="77777777" w:rsidR="0022431E" w:rsidRPr="00EA1B99" w:rsidRDefault="0022431E" w:rsidP="008722B0">
      <w:pPr>
        <w:pStyle w:val="11Head-Bullet"/>
      </w:pPr>
      <w:r w:rsidRPr="0022431E">
        <w:rPr>
          <w:b/>
          <w:bCs/>
        </w:rPr>
        <w:t>Execution:</w:t>
      </w:r>
      <w:r w:rsidRPr="0022431E">
        <w:t xml:space="preserve"> The breaker shall be provided in either </w:t>
      </w:r>
      <w:r w:rsidRPr="00EA1B99">
        <w:t>a Fixed or Drawout (Roll-out) execution as specified in the project data sheets.</w:t>
      </w:r>
    </w:p>
    <w:p w14:paraId="305AA865" w14:textId="05B50460" w:rsidR="0022431E" w:rsidRPr="0022431E" w:rsidRDefault="0022431E" w:rsidP="008722B0">
      <w:pPr>
        <w:pStyle w:val="11Head-Bullet"/>
      </w:pPr>
      <w:r w:rsidRPr="0022431E">
        <w:rPr>
          <w:b/>
          <w:bCs/>
        </w:rPr>
        <w:t>Compartmentalization:</w:t>
      </w:r>
      <w:r w:rsidRPr="0022431E">
        <w:t xml:space="preserve"> The breaker shall be mounted in a dedicated, grounded steel compartment physically isolated from the </w:t>
      </w:r>
      <w:r w:rsidR="00BA469A">
        <w:t>capacitor</w:t>
      </w:r>
      <w:r w:rsidRPr="0022431E">
        <w:t xml:space="preserve"> and low-voltage control sections.</w:t>
      </w:r>
    </w:p>
    <w:p w14:paraId="597F205A" w14:textId="63BF5685" w:rsidR="0022431E" w:rsidRPr="0022431E" w:rsidRDefault="00A93936" w:rsidP="00C0670F">
      <w:pPr>
        <w:pStyle w:val="Heading2"/>
      </w:pPr>
      <w:r w:rsidRPr="00683E3B">
        <w:rPr>
          <w:b/>
          <w:bCs/>
        </w:rPr>
        <w:t>Drawout</w:t>
      </w:r>
      <w:r w:rsidR="0022431E" w:rsidRPr="00683E3B">
        <w:rPr>
          <w:b/>
          <w:bCs/>
        </w:rPr>
        <w:t xml:space="preserve"> (Roll-out) Construction</w:t>
      </w:r>
      <w:r w:rsidR="00774464" w:rsidRPr="00683E3B">
        <w:rPr>
          <w:b/>
          <w:bCs/>
        </w:rPr>
        <w:br/>
      </w:r>
      <w:r w:rsidR="0022431E" w:rsidRPr="0022431E">
        <w:t xml:space="preserve">If a </w:t>
      </w:r>
      <w:r w:rsidRPr="0022431E">
        <w:t>draw out</w:t>
      </w:r>
      <w:r w:rsidR="0022431E" w:rsidRPr="0022431E">
        <w:t xml:space="preserve">/roll-out breaker is specified, the following requirements </w:t>
      </w:r>
      <w:r w:rsidR="00EA1B99">
        <w:t xml:space="preserve">shall </w:t>
      </w:r>
      <w:r w:rsidR="0022431E" w:rsidRPr="0022431E">
        <w:t>apply:</w:t>
      </w:r>
    </w:p>
    <w:p w14:paraId="7D0905F7" w14:textId="77777777" w:rsidR="0022431E" w:rsidRPr="0022431E" w:rsidRDefault="0022431E" w:rsidP="00683E3B">
      <w:pPr>
        <w:pStyle w:val="11Head-Bullet"/>
      </w:pPr>
      <w:r w:rsidRPr="0022431E">
        <w:rPr>
          <w:b/>
          <w:bCs/>
        </w:rPr>
        <w:t>Substation Integration:</w:t>
      </w:r>
      <w:r w:rsidRPr="0022431E">
        <w:t xml:space="preserve"> The breaker shall be a horizontal drawout type capable of being rolled directly onto a substation floor, including surfaces with stone cover.</w:t>
      </w:r>
    </w:p>
    <w:p w14:paraId="79C178EA" w14:textId="77777777" w:rsidR="0022431E" w:rsidRDefault="0022431E" w:rsidP="00683E3B">
      <w:pPr>
        <w:pStyle w:val="11Head-Bullet"/>
      </w:pPr>
      <w:r w:rsidRPr="0022431E">
        <w:rPr>
          <w:b/>
          <w:bCs/>
        </w:rPr>
        <w:t>Racking:</w:t>
      </w:r>
      <w:r w:rsidRPr="0022431E">
        <w:t xml:space="preserve"> Provisions shall be provided for manual or motorized racking of the breaker with the compartment door closed to enhance </w:t>
      </w:r>
      <w:proofErr w:type="gramStart"/>
      <w:r w:rsidRPr="0022431E">
        <w:t>operator</w:t>
      </w:r>
      <w:proofErr w:type="gramEnd"/>
      <w:r w:rsidRPr="0022431E">
        <w:t xml:space="preserve"> safety.</w:t>
      </w:r>
    </w:p>
    <w:p w14:paraId="40000FE5" w14:textId="77777777" w:rsidR="00CB16DB" w:rsidRPr="0022431E" w:rsidRDefault="00CB16DB" w:rsidP="00CB16DB">
      <w:pPr>
        <w:pStyle w:val="11Head-Bullet"/>
        <w:numPr>
          <w:ilvl w:val="0"/>
          <w:numId w:val="0"/>
        </w:numPr>
        <w:ind w:left="450"/>
      </w:pPr>
    </w:p>
    <w:p w14:paraId="0E489E0D" w14:textId="7B9FB84D" w:rsidR="0022431E" w:rsidRPr="00776DB8" w:rsidRDefault="0022431E" w:rsidP="00CC68E1">
      <w:pPr>
        <w:pStyle w:val="Heading2"/>
        <w:rPr>
          <w:b/>
          <w:bCs/>
        </w:rPr>
      </w:pPr>
      <w:r w:rsidRPr="00776DB8">
        <w:rPr>
          <w:b/>
          <w:bCs/>
        </w:rPr>
        <w:lastRenderedPageBreak/>
        <w:t>Environmental Control and Protection</w:t>
      </w:r>
    </w:p>
    <w:p w14:paraId="12E401B6" w14:textId="77777777" w:rsidR="0022431E" w:rsidRPr="0022431E" w:rsidRDefault="0022431E" w:rsidP="00776DB8">
      <w:pPr>
        <w:pStyle w:val="11Head-Bullet"/>
      </w:pPr>
      <w:r w:rsidRPr="0022431E">
        <w:rPr>
          <w:b/>
          <w:bCs/>
        </w:rPr>
        <w:t>Condensation and Cold Protection:</w:t>
      </w:r>
      <w:r w:rsidRPr="0022431E">
        <w:t xml:space="preserve"> The breaker compartment shall be equipped with thermostatically controlled strip heaters to prevent condensation and ensure reliable operation in cold ambient conditions.</w:t>
      </w:r>
    </w:p>
    <w:p w14:paraId="5022644E" w14:textId="77777777" w:rsidR="0022431E" w:rsidRDefault="0022431E" w:rsidP="00776DB8">
      <w:pPr>
        <w:pStyle w:val="11Head-Bullet"/>
      </w:pPr>
      <w:r w:rsidRPr="0022431E">
        <w:rPr>
          <w:b/>
          <w:bCs/>
        </w:rPr>
        <w:t>Maintenance-Free Design:</w:t>
      </w:r>
      <w:r w:rsidRPr="0022431E">
        <w:t xml:space="preserve"> The vacuum interrupters shall be embedded and sealed for life, requiring no adjustment of the breaker mechanism or contact wear measurements during the service life of the unit.</w:t>
      </w:r>
    </w:p>
    <w:p w14:paraId="02767437" w14:textId="59A2BE42" w:rsidR="0022431E" w:rsidRPr="0022431E" w:rsidRDefault="0022431E" w:rsidP="004727C1">
      <w:pPr>
        <w:pStyle w:val="Heading2"/>
      </w:pPr>
      <w:r w:rsidRPr="005B13FB">
        <w:rPr>
          <w:b/>
          <w:bCs/>
        </w:rPr>
        <w:t>Control and Monitoring Interface</w:t>
      </w:r>
      <w:r w:rsidR="005B13FB">
        <w:rPr>
          <w:b/>
          <w:bCs/>
        </w:rPr>
        <w:br/>
      </w:r>
      <w:r w:rsidRPr="0022431E">
        <w:t xml:space="preserve">The breaker shall be fully integrated into the </w:t>
      </w:r>
      <w:r w:rsidR="005B13FB">
        <w:t>c</w:t>
      </w:r>
      <w:r w:rsidRPr="0022431E">
        <w:t xml:space="preserve">ontrol and protection system. </w:t>
      </w:r>
      <w:proofErr w:type="gramStart"/>
      <w:r w:rsidRPr="0022431E">
        <w:t>All of</w:t>
      </w:r>
      <w:proofErr w:type="gramEnd"/>
      <w:r w:rsidRPr="0022431E">
        <w:t xml:space="preserve"> the following signals shall be wired out to the low-voltage control panel:</w:t>
      </w:r>
    </w:p>
    <w:p w14:paraId="155501AE" w14:textId="77777777" w:rsidR="0022431E" w:rsidRPr="0022431E" w:rsidRDefault="0022431E" w:rsidP="005B13FB">
      <w:pPr>
        <w:pStyle w:val="11Head-Bullet"/>
      </w:pPr>
      <w:r w:rsidRPr="0022431E">
        <w:rPr>
          <w:b/>
          <w:bCs/>
        </w:rPr>
        <w:t>Status Signaling:</w:t>
      </w:r>
      <w:r w:rsidRPr="0022431E">
        <w:t xml:space="preserve"> Mechanical and electrical indicators for Open/Closed (Green/Red) and Spring Charged/Discharged status.</w:t>
      </w:r>
    </w:p>
    <w:p w14:paraId="792E1D51" w14:textId="77777777" w:rsidR="0022431E" w:rsidRPr="0022431E" w:rsidRDefault="0022431E" w:rsidP="005B13FB">
      <w:pPr>
        <w:pStyle w:val="11Head-Bullet"/>
      </w:pPr>
      <w:r w:rsidRPr="0022431E">
        <w:rPr>
          <w:b/>
          <w:bCs/>
        </w:rPr>
        <w:t>Monitored Contacts:</w:t>
      </w:r>
      <w:r w:rsidRPr="0022431E">
        <w:t xml:space="preserve"> All "A" and "B" auxiliary contacts, loss of voltage, and trip coil monitors shall be wired to terminal blocks for use by the protection system.</w:t>
      </w:r>
    </w:p>
    <w:p w14:paraId="7927AA9A" w14:textId="506F66BA" w:rsidR="0022431E" w:rsidRPr="0022431E" w:rsidRDefault="0022431E" w:rsidP="005B13FB">
      <w:pPr>
        <w:pStyle w:val="11Head-Bullet"/>
      </w:pPr>
      <w:r w:rsidRPr="0022431E">
        <w:rPr>
          <w:b/>
          <w:bCs/>
        </w:rPr>
        <w:t>Operations:</w:t>
      </w:r>
      <w:r w:rsidRPr="0022431E">
        <w:t xml:space="preserve"> </w:t>
      </w:r>
      <w:r w:rsidR="005A5A31">
        <w:t xml:space="preserve">An </w:t>
      </w:r>
      <w:r w:rsidRPr="0022431E">
        <w:t>operation counter shall be provided as standard.</w:t>
      </w:r>
    </w:p>
    <w:p w14:paraId="01C8D1A8" w14:textId="4904EA55" w:rsidR="0022431E" w:rsidRPr="005B13FB" w:rsidRDefault="0022431E" w:rsidP="005B13FB">
      <w:pPr>
        <w:pStyle w:val="Heading2"/>
        <w:rPr>
          <w:b/>
          <w:bCs/>
        </w:rPr>
      </w:pPr>
      <w:r w:rsidRPr="005B13FB">
        <w:rPr>
          <w:b/>
          <w:bCs/>
        </w:rPr>
        <w:t>Protection and Instrumentation</w:t>
      </w:r>
    </w:p>
    <w:p w14:paraId="101FC950" w14:textId="1AB58076" w:rsidR="0022431E" w:rsidRPr="0022431E" w:rsidRDefault="0022431E" w:rsidP="005B13FB">
      <w:pPr>
        <w:pStyle w:val="11Head-Bullet"/>
      </w:pPr>
      <w:r w:rsidRPr="0022431E">
        <w:rPr>
          <w:b/>
          <w:bCs/>
        </w:rPr>
        <w:t>Relay Protection:</w:t>
      </w:r>
      <w:r w:rsidRPr="0022431E">
        <w:t xml:space="preserve"> The breaker shall be wired to a protection panel equipped with an </w:t>
      </w:r>
      <w:r w:rsidRPr="00D35EDD">
        <w:t>SEL-751</w:t>
      </w:r>
      <w:r w:rsidR="00A92988" w:rsidRPr="00D35EDD">
        <w:t>, SEL-487V</w:t>
      </w:r>
      <w:r w:rsidRPr="00D35EDD">
        <w:t xml:space="preserve"> or ABB</w:t>
      </w:r>
      <w:r w:rsidR="00BF5425" w:rsidRPr="00D35EDD">
        <w:t xml:space="preserve"> REX640</w:t>
      </w:r>
      <w:r w:rsidRPr="00D35EDD">
        <w:t xml:space="preserve"> </w:t>
      </w:r>
      <w:r w:rsidR="00A92988" w:rsidRPr="00D35EDD">
        <w:t>protection and</w:t>
      </w:r>
      <w:r w:rsidR="00A92988">
        <w:t xml:space="preserve"> control </w:t>
      </w:r>
      <w:r w:rsidRPr="0022431E">
        <w:t xml:space="preserve">relay providing instantaneous and time-overcurrent (phase and ground) protection for the </w:t>
      </w:r>
      <w:r w:rsidR="00A30178">
        <w:t>capacitor bank</w:t>
      </w:r>
      <w:r w:rsidR="00A92988">
        <w:t xml:space="preserve"> amongst other</w:t>
      </w:r>
      <w:r w:rsidR="00DC6D05">
        <w:t xml:space="preserve"> relay and control </w:t>
      </w:r>
      <w:r w:rsidR="00A92988">
        <w:t>functions</w:t>
      </w:r>
      <w:r w:rsidRPr="0022431E">
        <w:t>.</w:t>
      </w:r>
    </w:p>
    <w:p w14:paraId="381CCF12" w14:textId="61A35495" w:rsidR="0022431E" w:rsidRPr="0022431E" w:rsidRDefault="0022431E" w:rsidP="005B13FB">
      <w:pPr>
        <w:pStyle w:val="11Head-Bullet"/>
      </w:pPr>
      <w:r w:rsidRPr="0022431E">
        <w:rPr>
          <w:b/>
          <w:bCs/>
        </w:rPr>
        <w:t>Interlocking:</w:t>
      </w:r>
      <w:r w:rsidRPr="0022431E">
        <w:t xml:space="preserve"> The breaker shall form an integral part of the </w:t>
      </w:r>
      <w:r w:rsidR="00D35EDD">
        <w:t xml:space="preserve">filter </w:t>
      </w:r>
      <w:r w:rsidRPr="0022431E">
        <w:t>bank's trapped-key interlock system</w:t>
      </w:r>
      <w:r w:rsidR="00D35EDD">
        <w:t xml:space="preserve"> to prevent out-of-sequence entry or operation of the </w:t>
      </w:r>
      <w:r w:rsidR="00A30178">
        <w:t>capacitor bank</w:t>
      </w:r>
      <w:r w:rsidR="00D35EDD">
        <w:t>.</w:t>
      </w:r>
    </w:p>
    <w:p w14:paraId="603F80F4" w14:textId="189BACEE" w:rsidR="001C7BFC" w:rsidRPr="001C7BFC" w:rsidRDefault="001C7BFC" w:rsidP="001C7BFC">
      <w:pPr>
        <w:pStyle w:val="Heading1"/>
      </w:pPr>
      <w:r w:rsidRPr="001C7BFC">
        <w:t>Stage Switching Devices (38 kV Class)</w:t>
      </w:r>
    </w:p>
    <w:p w14:paraId="46DF2EB3" w14:textId="7A36FEE4" w:rsidR="001C7BFC" w:rsidRDefault="001C7BFC" w:rsidP="000814AA">
      <w:pPr>
        <w:pStyle w:val="Heading2"/>
      </w:pPr>
      <w:r w:rsidRPr="00D213C5">
        <w:rPr>
          <w:b/>
          <w:bCs/>
        </w:rPr>
        <w:t>General Requirements</w:t>
      </w:r>
      <w:r>
        <w:br/>
      </w:r>
      <w:r w:rsidRPr="001C7BFC">
        <w:t>Each capacitor bank stage shall be controlled by a switching device specifically designed and rated for 38 kV capacitive switching duties. The device shall be selected to mitigate transient overvoltages and inrush currents without the necessity of external inrush reactors. The switching technology shall be limited to the following two approved options to ensure high-reliability performance in renewable energy applications.</w:t>
      </w:r>
    </w:p>
    <w:p w14:paraId="2BA66E3C" w14:textId="0F8CBC00" w:rsidR="00C43ACC" w:rsidRPr="001C7BFC" w:rsidRDefault="00C43ACC" w:rsidP="00571350">
      <w:pPr>
        <w:pStyle w:val="Heading2"/>
      </w:pPr>
      <w:r w:rsidRPr="00D213C5">
        <w:rPr>
          <w:b/>
          <w:bCs/>
        </w:rPr>
        <w:t>Option 1: ABB VD4-CS / VD4-CS1 (Vacuum with Servo Actuation)</w:t>
      </w:r>
      <w:r w:rsidR="00236CF3" w:rsidRPr="00D213C5">
        <w:rPr>
          <w:b/>
          <w:bCs/>
        </w:rPr>
        <w:br/>
      </w:r>
      <w:r w:rsidRPr="001C7BFC">
        <w:t>Where high-speed performance or maintenance-free vacuum technology is required, stages shall be controlled by ABB VD4-CS series circuit breakers.</w:t>
      </w:r>
    </w:p>
    <w:p w14:paraId="2ADFB283" w14:textId="77777777" w:rsidR="00C43ACC" w:rsidRPr="006555D5" w:rsidRDefault="00C43ACC" w:rsidP="006555D5">
      <w:pPr>
        <w:pStyle w:val="11Head-Bullet"/>
      </w:pPr>
      <w:r w:rsidRPr="0091742F">
        <w:rPr>
          <w:b/>
          <w:bCs/>
        </w:rPr>
        <w:t>Technology:</w:t>
      </w:r>
      <w:r w:rsidRPr="006555D5">
        <w:t xml:space="preserve"> The breaker shall utilize vacuum interrupters cast-embedded in resin to protect against environmental contaminants.</w:t>
      </w:r>
    </w:p>
    <w:p w14:paraId="62D026B3" w14:textId="77777777" w:rsidR="00C43ACC" w:rsidRPr="006555D5" w:rsidRDefault="00C43ACC" w:rsidP="006555D5">
      <w:pPr>
        <w:pStyle w:val="11Head-Bullet"/>
      </w:pPr>
      <w:r w:rsidRPr="0091742F">
        <w:rPr>
          <w:b/>
          <w:bCs/>
        </w:rPr>
        <w:t>Actuation:</w:t>
      </w:r>
      <w:r w:rsidRPr="006555D5">
        <w:t xml:space="preserve"> The operating mechanism shall be brushless servomotor-based, utilizing one independent motor per phase for high-resolution motion control.</w:t>
      </w:r>
    </w:p>
    <w:p w14:paraId="66699C6F" w14:textId="77777777" w:rsidR="00C43ACC" w:rsidRPr="006555D5" w:rsidRDefault="00C43ACC" w:rsidP="006555D5">
      <w:pPr>
        <w:pStyle w:val="11Head-Bullet"/>
      </w:pPr>
      <w:r w:rsidRPr="0091742F">
        <w:rPr>
          <w:b/>
          <w:bCs/>
        </w:rPr>
        <w:t>Point-on-Wave Switching:</w:t>
      </w:r>
      <w:r w:rsidRPr="006555D5">
        <w:t xml:space="preserve"> The embedded controller shall synchronize operations with the network voltage to achieve transient-free connection at the zero-voltage crossing and restrike-free disconnection.</w:t>
      </w:r>
    </w:p>
    <w:p w14:paraId="7CA32E61" w14:textId="5D039E99" w:rsidR="00C43ACC" w:rsidRPr="006555D5" w:rsidRDefault="00C43ACC" w:rsidP="006555D5">
      <w:pPr>
        <w:pStyle w:val="11Head-Bullet"/>
      </w:pPr>
      <w:r w:rsidRPr="0091742F">
        <w:rPr>
          <w:b/>
          <w:bCs/>
        </w:rPr>
        <w:t>VD4-CS1 (Fast Reclosing):</w:t>
      </w:r>
      <w:r w:rsidRPr="006555D5">
        <w:t xml:space="preserve"> For hybrid STATCOM applications or where real-time power factor compensation is required, the VD4-CS1 model shall be utilized. This device shall support a fast duty cycle (O-0.2s-C) allowing for reclosing </w:t>
      </w:r>
      <w:r w:rsidR="00C3060A">
        <w:t xml:space="preserve">(at 200mS </w:t>
      </w:r>
      <w:r w:rsidR="007817BA">
        <w:t>or later after opening</w:t>
      </w:r>
      <w:r w:rsidR="00C3060A">
        <w:t xml:space="preserve">) </w:t>
      </w:r>
      <w:r w:rsidRPr="006555D5">
        <w:t>on a fully or partially charged bank without a mandatory discharge wait time.</w:t>
      </w:r>
    </w:p>
    <w:p w14:paraId="1B373A33" w14:textId="77777777" w:rsidR="00C43ACC" w:rsidRDefault="00C43ACC" w:rsidP="006555D5">
      <w:pPr>
        <w:pStyle w:val="11Head-Bullet"/>
      </w:pPr>
      <w:r w:rsidRPr="0091742F">
        <w:rPr>
          <w:b/>
          <w:bCs/>
        </w:rPr>
        <w:t>Advanced Diagnostics:</w:t>
      </w:r>
      <w:r w:rsidRPr="006555D5">
        <w:t xml:space="preserve"> The system shall provide embedded monitoring of motion profiles, contact wearing, and electronic health status, accessible via a web-based Human Machine Interface (WebHMI) or Modbus TCP</w:t>
      </w:r>
      <w:r w:rsidRPr="001C7BFC">
        <w:t>.</w:t>
      </w:r>
    </w:p>
    <w:p w14:paraId="4560806F" w14:textId="77777777" w:rsidR="00E35184" w:rsidRPr="001C7BFC" w:rsidRDefault="00E35184" w:rsidP="00E35184">
      <w:pPr>
        <w:pStyle w:val="11Head-Bullet"/>
      </w:pPr>
      <w:r w:rsidRPr="001C7BFC">
        <w:rPr>
          <w:b/>
          <w:bCs/>
        </w:rPr>
        <w:t>Indication</w:t>
      </w:r>
      <w:r w:rsidRPr="001C7BFC">
        <w:t>: Auxiliary contacts shall be provided for local and remote position indication, and a mechanical position flag shall be visible through the compartment's viewing window.</w:t>
      </w:r>
    </w:p>
    <w:p w14:paraId="16624691" w14:textId="06E79826" w:rsidR="001C7BFC" w:rsidRPr="001C7BFC" w:rsidRDefault="001C7BFC" w:rsidP="00843EB0">
      <w:pPr>
        <w:pStyle w:val="Heading2"/>
      </w:pPr>
      <w:r w:rsidRPr="00D213C5">
        <w:rPr>
          <w:b/>
          <w:bCs/>
        </w:rPr>
        <w:lastRenderedPageBreak/>
        <w:t xml:space="preserve">Option </w:t>
      </w:r>
      <w:r w:rsidR="00C43ACC" w:rsidRPr="00D213C5">
        <w:rPr>
          <w:b/>
          <w:bCs/>
        </w:rPr>
        <w:t>2</w:t>
      </w:r>
      <w:r w:rsidRPr="00D213C5">
        <w:rPr>
          <w:b/>
          <w:bCs/>
        </w:rPr>
        <w:t>: Southern States CapSwitcher® (SF6 with Closing Resistors)</w:t>
      </w:r>
      <w:r w:rsidR="00C43ACC" w:rsidRPr="00D213C5">
        <w:rPr>
          <w:b/>
          <w:bCs/>
        </w:rPr>
        <w:br/>
      </w:r>
      <w:r w:rsidRPr="001C7BFC">
        <w:t>Where specified, capacitor stages shall be switched by Southern States CapSwitcher® or an approved equal meeting all the following criteria:</w:t>
      </w:r>
    </w:p>
    <w:p w14:paraId="5339EE22" w14:textId="77777777" w:rsidR="001C7BFC" w:rsidRPr="001C7BFC" w:rsidRDefault="001C7BFC" w:rsidP="00D213C5">
      <w:pPr>
        <w:pStyle w:val="11Head-Bullet"/>
      </w:pPr>
      <w:r w:rsidRPr="001C7BFC">
        <w:rPr>
          <w:b/>
          <w:bCs/>
        </w:rPr>
        <w:t>Transient Mitigation</w:t>
      </w:r>
      <w:r w:rsidRPr="001C7BFC">
        <w:t>: The device shall utilize SF6 puffer interrupters equipped with pre-insertion (closing) resistors to damp voltage transients and current inrush. Resistor insertion time shall be between 5 ms and 12 ms.</w:t>
      </w:r>
    </w:p>
    <w:p w14:paraId="707176CD" w14:textId="77777777" w:rsidR="001C7BFC" w:rsidRPr="001C7BFC" w:rsidRDefault="001C7BFC" w:rsidP="00D213C5">
      <w:pPr>
        <w:pStyle w:val="11Head-Bullet"/>
      </w:pPr>
      <w:r w:rsidRPr="001C7BFC">
        <w:rPr>
          <w:b/>
          <w:bCs/>
        </w:rPr>
        <w:t>Ratings</w:t>
      </w:r>
      <w:r w:rsidRPr="001C7BFC">
        <w:t>: The device shall have a maximum voltage rating of 38 kV, a capacitive switching current of 600 A, and a short-time symmetrical withstand of 40 kA RMS.</w:t>
      </w:r>
    </w:p>
    <w:p w14:paraId="4BE77841" w14:textId="77777777" w:rsidR="001C7BFC" w:rsidRPr="001C7BFC" w:rsidRDefault="001C7BFC" w:rsidP="00D213C5">
      <w:pPr>
        <w:pStyle w:val="11Head-Bullet"/>
      </w:pPr>
      <w:r w:rsidRPr="001C7BFC">
        <w:rPr>
          <w:b/>
          <w:bCs/>
        </w:rPr>
        <w:t>Mechanism and Control</w:t>
      </w:r>
      <w:r w:rsidRPr="001C7BFC">
        <w:t>: The switcher shall utilize a spring open-spring close mechanism with a 125 VDC control voltage and 120 VAC thermostatically controlled strip heaters.</w:t>
      </w:r>
    </w:p>
    <w:p w14:paraId="515183F7" w14:textId="77777777" w:rsidR="001C7BFC" w:rsidRPr="001C7BFC" w:rsidRDefault="001C7BFC" w:rsidP="00D213C5">
      <w:pPr>
        <w:pStyle w:val="11Head-Bullet"/>
      </w:pPr>
      <w:r w:rsidRPr="001C7BFC">
        <w:rPr>
          <w:b/>
          <w:bCs/>
        </w:rPr>
        <w:t>Indication</w:t>
      </w:r>
      <w:r w:rsidRPr="001C7BFC">
        <w:t>: Auxiliary contacts shall be provided for local and remote position indication, and a mechanical position flag shall be visible through the compartment's viewing window.</w:t>
      </w:r>
    </w:p>
    <w:p w14:paraId="787A3A69" w14:textId="7E71194F" w:rsidR="00FD0F91" w:rsidRPr="00FD0F91" w:rsidRDefault="00236CF3" w:rsidP="00071E22">
      <w:pPr>
        <w:pStyle w:val="Heading2"/>
        <w:rPr>
          <w:b/>
          <w:bCs/>
        </w:rPr>
      </w:pPr>
      <w:r w:rsidRPr="008656CC">
        <w:rPr>
          <w:b/>
          <w:bCs/>
        </w:rPr>
        <w:t>Compartmentalization and Safety</w:t>
      </w:r>
      <w:r w:rsidR="008656CC">
        <w:rPr>
          <w:b/>
          <w:bCs/>
        </w:rPr>
        <w:br/>
      </w:r>
      <w:r w:rsidR="00FD0F91" w:rsidRPr="00FD0F91">
        <w:t>To ensure all switching devices remain within their optimal operating temperature zone and to mitigate the risks of moisture-related failures, each switch compartment shall be equipped with the following environmental controls:</w:t>
      </w:r>
    </w:p>
    <w:p w14:paraId="041FCECD" w14:textId="2B145DCC" w:rsidR="00FD0F91" w:rsidRPr="00FD0F91" w:rsidRDefault="00FD0F91" w:rsidP="008656CC">
      <w:pPr>
        <w:pStyle w:val="Heading3"/>
      </w:pPr>
      <w:r w:rsidRPr="007337BE">
        <w:rPr>
          <w:b/>
          <w:bCs/>
        </w:rPr>
        <w:t>Condensation and Temperature Control:</w:t>
      </w:r>
      <w:r w:rsidRPr="00FD0F91">
        <w:t xml:space="preserve"> Each compartment shall be provided with thermostatically controlled 120 VAC strip heaters. These heaters are specifically sized to prevent condensation and maintain the internal ambient temperature above the minimum ratings of the switching devices.</w:t>
      </w:r>
    </w:p>
    <w:p w14:paraId="534D3D4D" w14:textId="77777777" w:rsidR="00FD0F91" w:rsidRPr="00FD0F91" w:rsidRDefault="00FD0F91" w:rsidP="008656CC">
      <w:pPr>
        <w:pStyle w:val="Heading3"/>
      </w:pPr>
      <w:r w:rsidRPr="007337BE">
        <w:rPr>
          <w:b/>
          <w:bCs/>
        </w:rPr>
        <w:t>Thermal Insulation:</w:t>
      </w:r>
      <w:r w:rsidRPr="00FD0F91">
        <w:t xml:space="preserve"> In cold environment applications, the interior walls of the switch compartments shall be insulated to retain heat generated by the strip heaters and to stabilize the internal climate against extreme external temperature fluctuations.</w:t>
      </w:r>
    </w:p>
    <w:p w14:paraId="5535A0F7" w14:textId="77777777" w:rsidR="00FD0F91" w:rsidRPr="00FD0F91" w:rsidRDefault="00FD0F91" w:rsidP="008656CC">
      <w:pPr>
        <w:pStyle w:val="Heading3"/>
      </w:pPr>
      <w:r w:rsidRPr="007337BE">
        <w:rPr>
          <w:b/>
          <w:bCs/>
        </w:rPr>
        <w:t>Cross Ventilation:</w:t>
      </w:r>
      <w:r w:rsidRPr="00FD0F91">
        <w:t xml:space="preserve"> The enclosure design shall incorporate cross-ventilation features as a secondary means to prevent the accumulation of stagnant, moist air, thereby further reducing the potential for condensation on critical primary insulation and interrupter components.</w:t>
      </w:r>
    </w:p>
    <w:p w14:paraId="0C201A41" w14:textId="50DE32EB" w:rsidR="005D5B2F" w:rsidRPr="00351061" w:rsidRDefault="005D5B2F" w:rsidP="00AF26DC">
      <w:pPr>
        <w:pStyle w:val="Heading2"/>
        <w:rPr>
          <w:b/>
          <w:bCs/>
        </w:rPr>
      </w:pPr>
      <w:r w:rsidRPr="00351061">
        <w:rPr>
          <w:b/>
          <w:bCs/>
        </w:rPr>
        <w:t>Control and Safety Interlocking</w:t>
      </w:r>
    </w:p>
    <w:p w14:paraId="3377416D" w14:textId="77777777" w:rsidR="000A6454" w:rsidRPr="00D213C5" w:rsidRDefault="000A6454" w:rsidP="000A6454">
      <w:pPr>
        <w:pStyle w:val="11Head-Bullet"/>
      </w:pPr>
      <w:r w:rsidRPr="007817BA">
        <w:rPr>
          <w:b/>
          <w:bCs/>
        </w:rPr>
        <w:t>Interlocking:</w:t>
      </w:r>
      <w:r w:rsidRPr="00D213C5">
        <w:t xml:space="preserve"> All stage switching devices shall be electrically and/or mechanically interlocked with the bank’s main air-disconnect switch and ground switch.</w:t>
      </w:r>
    </w:p>
    <w:p w14:paraId="0115D369" w14:textId="77777777" w:rsidR="000A6454" w:rsidRDefault="000A6454" w:rsidP="000A6454">
      <w:pPr>
        <w:pStyle w:val="11Head-Bullet"/>
      </w:pPr>
      <w:r w:rsidRPr="007817BA">
        <w:rPr>
          <w:b/>
          <w:bCs/>
        </w:rPr>
        <w:t>Reclose Protection:</w:t>
      </w:r>
      <w:r w:rsidRPr="00D213C5">
        <w:t xml:space="preserve"> For standard CapSwitcher® and VD4-CS applications, the control system shall enforce a mandatory 5-minute discharge timer between operations. This timer is not required for the VD4-CS1 when utilizing its specialized fast-reclosing logic.</w:t>
      </w:r>
    </w:p>
    <w:p w14:paraId="16CD91D8" w14:textId="77777777" w:rsidR="0000648B" w:rsidRDefault="00483C38" w:rsidP="00483C38">
      <w:pPr>
        <w:pStyle w:val="Heading1"/>
      </w:pPr>
      <w:r w:rsidRPr="00483C38">
        <w:t>Transient Inrush Reactors</w:t>
      </w:r>
      <w:r w:rsidR="003D0A90">
        <w:t xml:space="preserve"> (</w:t>
      </w:r>
      <w:r w:rsidR="009A1EF7">
        <w:t>Optional</w:t>
      </w:r>
      <w:r w:rsidR="003D0A90">
        <w:t>)</w:t>
      </w:r>
    </w:p>
    <w:p w14:paraId="3722A866" w14:textId="4292004E" w:rsidR="0000648B" w:rsidRPr="0000648B" w:rsidRDefault="0000648B" w:rsidP="0000648B">
      <w:pPr>
        <w:pStyle w:val="NormalWeb"/>
        <w:rPr>
          <w:rFonts w:ascii="Aptos" w:hAnsi="Aptos"/>
          <w:sz w:val="20"/>
          <w:szCs w:val="20"/>
        </w:rPr>
      </w:pPr>
      <w:r w:rsidRPr="0000648B">
        <w:rPr>
          <w:rFonts w:ascii="Aptos" w:hAnsi="Aptos"/>
          <w:sz w:val="20"/>
          <w:szCs w:val="20"/>
        </w:rPr>
        <w:t>Transient inrush reactors shall not be required when the capacitor bank is switched by ABB VD4-CS, ABB VD4-CS1, or Southern States CapSwitcher® switching technology, since these devices are inherently transient free and do not rely on inrush reactors for transient mitigation.</w:t>
      </w:r>
      <w:r w:rsidR="000639FA">
        <w:rPr>
          <w:rFonts w:ascii="Aptos" w:hAnsi="Aptos"/>
          <w:sz w:val="20"/>
          <w:szCs w:val="20"/>
        </w:rPr>
        <w:t xml:space="preserve"> </w:t>
      </w:r>
      <w:r w:rsidRPr="0000648B">
        <w:rPr>
          <w:rFonts w:ascii="Aptos" w:hAnsi="Aptos"/>
          <w:sz w:val="20"/>
          <w:szCs w:val="20"/>
        </w:rPr>
        <w:t xml:space="preserve">If an alternate switching technology is </w:t>
      </w:r>
      <w:r w:rsidR="000639FA">
        <w:rPr>
          <w:rFonts w:ascii="Aptos" w:hAnsi="Aptos"/>
          <w:sz w:val="20"/>
          <w:szCs w:val="20"/>
        </w:rPr>
        <w:t xml:space="preserve">provided or specified </w:t>
      </w:r>
      <w:r w:rsidRPr="0000648B">
        <w:rPr>
          <w:rFonts w:ascii="Aptos" w:hAnsi="Aptos"/>
          <w:sz w:val="20"/>
          <w:szCs w:val="20"/>
        </w:rPr>
        <w:t>that does not inherently mitigate switching transients, transient inrush reactors shall be provided in accordance with the requirements of this section.</w:t>
      </w:r>
    </w:p>
    <w:p w14:paraId="47A32294" w14:textId="6E796F7A" w:rsidR="0000648B" w:rsidRPr="0000648B" w:rsidRDefault="0000648B" w:rsidP="0000648B">
      <w:pPr>
        <w:pStyle w:val="NormalWeb"/>
        <w:rPr>
          <w:rFonts w:ascii="Aptos" w:hAnsi="Aptos"/>
          <w:sz w:val="20"/>
          <w:szCs w:val="20"/>
        </w:rPr>
      </w:pPr>
      <w:r w:rsidRPr="0000648B">
        <w:rPr>
          <w:rFonts w:ascii="Aptos" w:hAnsi="Aptos"/>
          <w:sz w:val="20"/>
          <w:szCs w:val="20"/>
        </w:rPr>
        <w:t>Where system studies or duty calculations demonstrate the need for outrush current limiting, the inrush reactors may be applied to also provide the required series impedance for outrush current control</w:t>
      </w:r>
      <w:r w:rsidR="000639FA">
        <w:rPr>
          <w:rFonts w:ascii="Aptos" w:hAnsi="Aptos"/>
          <w:sz w:val="20"/>
          <w:szCs w:val="20"/>
        </w:rPr>
        <w:t xml:space="preserve">. </w:t>
      </w:r>
    </w:p>
    <w:p w14:paraId="5B9316D9" w14:textId="36C1176D" w:rsidR="00483C38" w:rsidRPr="00483C38" w:rsidRDefault="00483C38" w:rsidP="0000648B">
      <w:pPr>
        <w:pStyle w:val="Heading1"/>
        <w:numPr>
          <w:ilvl w:val="0"/>
          <w:numId w:val="0"/>
        </w:numPr>
        <w:ind w:left="90"/>
      </w:pPr>
    </w:p>
    <w:p w14:paraId="2174DFF2" w14:textId="59DC3F4D" w:rsidR="00483C38" w:rsidRPr="00483C38" w:rsidRDefault="00483C38" w:rsidP="008143BB">
      <w:pPr>
        <w:pStyle w:val="Heading2"/>
      </w:pPr>
      <w:r w:rsidRPr="00483C38">
        <w:rPr>
          <w:b/>
          <w:bCs/>
        </w:rPr>
        <w:lastRenderedPageBreak/>
        <w:t>General Design and Construction</w:t>
      </w:r>
      <w:r>
        <w:br/>
      </w:r>
      <w:r w:rsidRPr="00483C38">
        <w:t>Each capacitor bank stage shall be equipped with single-phase, air-core, dry-type transient limiting inductors (inrush reactors). These reactors are specifically designed to increase the life expectancy of switching devices by limiting the magnitude and frequency of transient inrush currents associated with back-to-back switching.</w:t>
      </w:r>
    </w:p>
    <w:p w14:paraId="1BC01D4F" w14:textId="77777777" w:rsidR="00483C38" w:rsidRPr="00483C38" w:rsidRDefault="00483C38" w:rsidP="00483C38">
      <w:pPr>
        <w:pStyle w:val="11Head-Bullet"/>
      </w:pPr>
      <w:r w:rsidRPr="00A66679">
        <w:rPr>
          <w:b/>
          <w:bCs/>
        </w:rPr>
        <w:t xml:space="preserve">Materials: </w:t>
      </w:r>
      <w:r w:rsidRPr="00483C38">
        <w:t>Windings shall consist of low-loss copper or aluminum magnet wire or foil.</w:t>
      </w:r>
    </w:p>
    <w:p w14:paraId="343123BC" w14:textId="77777777" w:rsidR="00483C38" w:rsidRPr="00483C38" w:rsidRDefault="00483C38" w:rsidP="00483C38">
      <w:pPr>
        <w:pStyle w:val="11Head-Bullet"/>
      </w:pPr>
      <w:r w:rsidRPr="00A66679">
        <w:rPr>
          <w:b/>
          <w:bCs/>
        </w:rPr>
        <w:t>Insulation System:</w:t>
      </w:r>
      <w:r w:rsidRPr="00483C38">
        <w:t xml:space="preserve"> The reactors shall utilize a 220°C insulation system.</w:t>
      </w:r>
    </w:p>
    <w:p w14:paraId="5C34BA70" w14:textId="77777777" w:rsidR="00483C38" w:rsidRPr="00483C38" w:rsidRDefault="00483C38" w:rsidP="00483C38">
      <w:pPr>
        <w:pStyle w:val="11Head-Bullet"/>
      </w:pPr>
      <w:r w:rsidRPr="00A66679">
        <w:rPr>
          <w:b/>
          <w:bCs/>
        </w:rPr>
        <w:t xml:space="preserve">Processing: </w:t>
      </w:r>
      <w:r w:rsidRPr="00483C38">
        <w:t>The complete assembly shall undergo an epoxy resin impregnation system to reduce audible noise, promote heat dissipation, and provide environmental protection in harsh conditions.</w:t>
      </w:r>
    </w:p>
    <w:p w14:paraId="6DE13E0A" w14:textId="77777777" w:rsidR="00483C38" w:rsidRPr="00483C38" w:rsidRDefault="00483C38" w:rsidP="00483C38">
      <w:pPr>
        <w:pStyle w:val="11Head-Bullet"/>
      </w:pPr>
      <w:r w:rsidRPr="00A66679">
        <w:rPr>
          <w:b/>
          <w:bCs/>
        </w:rPr>
        <w:t xml:space="preserve">Mechanical Construction: </w:t>
      </w:r>
      <w:r w:rsidRPr="00483C38">
        <w:t xml:space="preserve">The </w:t>
      </w:r>
      <w:proofErr w:type="gramStart"/>
      <w:r w:rsidRPr="00483C38">
        <w:t>design shall</w:t>
      </w:r>
      <w:proofErr w:type="gramEnd"/>
      <w:r w:rsidRPr="00483C38">
        <w:t xml:space="preserve"> utilize a GPO-3 high-strength, open-profile bobbin to ensure rigidity and maximize heat dissipation. Terminals shall feature NEMA two-hole bolt patterns on 1/4" x 2" bus bar to facilitate in-line bus connections.</w:t>
      </w:r>
    </w:p>
    <w:p w14:paraId="6815FE0F" w14:textId="7FC9F870" w:rsidR="00483C38" w:rsidRPr="00483C38" w:rsidRDefault="00483C38" w:rsidP="004A59E3">
      <w:pPr>
        <w:pStyle w:val="Heading2"/>
      </w:pPr>
      <w:r w:rsidRPr="006D31FF">
        <w:rPr>
          <w:b/>
          <w:bCs/>
        </w:rPr>
        <w:t>Performance and Standards Compliance</w:t>
      </w:r>
      <w:r w:rsidR="006D31FF">
        <w:rPr>
          <w:b/>
          <w:bCs/>
        </w:rPr>
        <w:br/>
      </w:r>
      <w:r w:rsidRPr="00483C38">
        <w:t xml:space="preserve">The reactors shall be sized to ensure the switching equipment operates within the high-frequency capacitive switching limits defined by </w:t>
      </w:r>
      <w:r w:rsidR="00FF77E5">
        <w:t xml:space="preserve">the current </w:t>
      </w:r>
      <w:r w:rsidRPr="00483C38">
        <w:t>IEEE standards, specifically IEEE Std C37.012-2022 and IEEE Std C37.66-2021.</w:t>
      </w:r>
    </w:p>
    <w:p w14:paraId="2EC063EF" w14:textId="77777777" w:rsidR="00483C38" w:rsidRPr="00483C38" w:rsidRDefault="00483C38" w:rsidP="00FF77E5">
      <w:pPr>
        <w:pStyle w:val="11Head-Bullet"/>
      </w:pPr>
      <w:r w:rsidRPr="00483C38">
        <w:rPr>
          <w:b/>
          <w:bCs/>
        </w:rPr>
        <w:t>Transient Limitation</w:t>
      </w:r>
      <w:r w:rsidRPr="00483C38">
        <w:t>: The reactors shall limit the peak transient inrush current to a value less than or equal to the rated peak inrush making current of the switching device, minus a specified engineering margin.</w:t>
      </w:r>
    </w:p>
    <w:p w14:paraId="25C6A38A" w14:textId="3B5032B9" w:rsidR="00483C38" w:rsidRPr="00483C38" w:rsidRDefault="00483C38" w:rsidP="00FF77E5">
      <w:pPr>
        <w:pStyle w:val="11Head-Bullet"/>
      </w:pPr>
      <w:r w:rsidRPr="00483C38">
        <w:rPr>
          <w:b/>
          <w:bCs/>
        </w:rPr>
        <w:t>Device-Specific Frequency Limits</w:t>
      </w:r>
      <w:r w:rsidRPr="00483C38">
        <w:t xml:space="preserve">: For modern vacuum and </w:t>
      </w:r>
      <w:r w:rsidR="004A59E3">
        <w:t>SF6</w:t>
      </w:r>
      <w:r w:rsidRPr="00483C38">
        <w:t xml:space="preserve"> capacitor switches evaluated under</w:t>
      </w:r>
      <w:r w:rsidRPr="004A59E3">
        <w:t xml:space="preserve"> IEEE Std C37.66-2021, there is no upper limit to the natural inrush frequency provided the peak current is withi</w:t>
      </w:r>
      <w:r w:rsidRPr="00483C38">
        <w:t xml:space="preserve">n rating. For vacuum and </w:t>
      </w:r>
      <w:r w:rsidR="004A59E3">
        <w:t>SF6</w:t>
      </w:r>
      <w:r w:rsidRPr="00483C38">
        <w:t xml:space="preserve"> circuit breakers evaluated under </w:t>
      </w:r>
      <w:r w:rsidRPr="004A59E3">
        <w:t>IEEE Std C37.012-2022,</w:t>
      </w:r>
      <w:r w:rsidRPr="00483C38">
        <w:t xml:space="preserve"> the reactors must ensure that the current-frequency product (</w:t>
      </w:r>
      <w:r w:rsidR="00C00C2C">
        <w:t>I x f</w:t>
      </w:r>
      <w:r w:rsidRPr="00483C38">
        <w:t xml:space="preserve">) does not exceed four times the rated product </w:t>
      </w:r>
      <w:proofErr w:type="gramStart"/>
      <w:r w:rsidRPr="00483C38">
        <w:t>( 4</w:t>
      </w:r>
      <w:proofErr w:type="gramEnd"/>
      <w:r w:rsidR="007C2151">
        <w:t xml:space="preserve"> x I x f)</w:t>
      </w:r>
      <w:r w:rsidRPr="00483C38">
        <w:t xml:space="preserve"> unless the inrush peak is less than 10% of its rating.</w:t>
      </w:r>
    </w:p>
    <w:p w14:paraId="507CA532" w14:textId="77777777" w:rsidR="00483C38" w:rsidRPr="00483C38" w:rsidRDefault="00483C38" w:rsidP="00FF77E5">
      <w:pPr>
        <w:pStyle w:val="11Head-Bullet"/>
      </w:pPr>
      <w:r w:rsidRPr="00483C38">
        <w:rPr>
          <w:b/>
          <w:bCs/>
        </w:rPr>
        <w:t>Back-to-Back Switching</w:t>
      </w:r>
      <w:r w:rsidRPr="00483C38">
        <w:t>: For multi-stage banks, the reactor inductance must limit the high-frequency discharge from energized stages into the unenergized stage being switched. Calculations must confirm that the calculated peak inrush current (including engineering margin) does not exceed the rated transient peak inrush current for capacitor switches, or the rated back-to-back capacitor bank inrush making current for circuit breakers.</w:t>
      </w:r>
    </w:p>
    <w:p w14:paraId="58DA549E" w14:textId="2BDA7517" w:rsidR="00483C38" w:rsidRPr="009C1B5D" w:rsidRDefault="00483C38" w:rsidP="00483C38">
      <w:pPr>
        <w:pStyle w:val="Heading2"/>
        <w:rPr>
          <w:b/>
          <w:bCs/>
        </w:rPr>
      </w:pPr>
      <w:r w:rsidRPr="009C1B5D">
        <w:rPr>
          <w:b/>
          <w:bCs/>
        </w:rPr>
        <w:t>Electrical Ratings</w:t>
      </w:r>
    </w:p>
    <w:p w14:paraId="4AED08FD" w14:textId="450A2377" w:rsidR="00483C38" w:rsidRPr="00483C38" w:rsidRDefault="00483C38" w:rsidP="00510113">
      <w:pPr>
        <w:pStyle w:val="11Head-Bullet"/>
        <w:numPr>
          <w:ilvl w:val="0"/>
          <w:numId w:val="16"/>
        </w:numPr>
      </w:pPr>
      <w:r w:rsidRPr="00483C38">
        <w:rPr>
          <w:b/>
          <w:bCs/>
        </w:rPr>
        <w:t>Continuous Current</w:t>
      </w:r>
      <w:r w:rsidRPr="00483C38">
        <w:t>: The reactor ampacity shall be rated for at least 135% of the nominal stage current</w:t>
      </w:r>
      <w:r w:rsidR="00A374C7">
        <w:t xml:space="preserve">. </w:t>
      </w:r>
    </w:p>
    <w:p w14:paraId="027EB8B7" w14:textId="538A687D" w:rsidR="00483C38" w:rsidRPr="00483C38" w:rsidRDefault="00483C38" w:rsidP="00510113">
      <w:pPr>
        <w:pStyle w:val="11Head-Bullet"/>
        <w:numPr>
          <w:ilvl w:val="0"/>
          <w:numId w:val="16"/>
        </w:numPr>
      </w:pPr>
      <w:r w:rsidRPr="00483C38">
        <w:rPr>
          <w:b/>
          <w:bCs/>
        </w:rPr>
        <w:t>System Factors</w:t>
      </w:r>
      <w:r w:rsidRPr="00483C38">
        <w:t xml:space="preserve">: </w:t>
      </w:r>
      <w:r w:rsidR="00A374C7">
        <w:t xml:space="preserve">All </w:t>
      </w:r>
      <w:r w:rsidR="00CC46F3">
        <w:t>calculations shall account</w:t>
      </w:r>
      <w:r w:rsidRPr="00483C38">
        <w:t xml:space="preserve"> </w:t>
      </w:r>
      <w:r w:rsidR="00A374C7">
        <w:t xml:space="preserve">for </w:t>
      </w:r>
      <w:r w:rsidRPr="00483C38">
        <w:t>maximum system overvoltage</w:t>
      </w:r>
      <w:r w:rsidR="00A374C7">
        <w:t xml:space="preserve"> of 10%</w:t>
      </w:r>
      <w:r w:rsidRPr="00483C38">
        <w:t>, maximum positive capacitor tolerance (typically +10%), and harmonic current effects as required by IEEE Std 1036-2020.</w:t>
      </w:r>
    </w:p>
    <w:p w14:paraId="5281000C" w14:textId="77777777" w:rsidR="00483C38" w:rsidRPr="00483C38" w:rsidRDefault="00483C38" w:rsidP="00510113">
      <w:pPr>
        <w:pStyle w:val="11Head-Bullet"/>
        <w:numPr>
          <w:ilvl w:val="0"/>
          <w:numId w:val="16"/>
        </w:numPr>
      </w:pPr>
      <w:r w:rsidRPr="00483C38">
        <w:rPr>
          <w:b/>
          <w:bCs/>
        </w:rPr>
        <w:t>Expansion Capability</w:t>
      </w:r>
      <w:r w:rsidRPr="00483C38">
        <w:t>: Where future expansion is specified, the reactor rating shall be based on 135% (for grounded banks) or 125% (for ungrounded banks) of the maximum future capacity of the stage.</w:t>
      </w:r>
    </w:p>
    <w:p w14:paraId="39EBB5B6" w14:textId="70CA1BFC" w:rsidR="00483C38" w:rsidRPr="00483C38" w:rsidRDefault="00483C38" w:rsidP="00510113">
      <w:pPr>
        <w:pStyle w:val="11Head-Bullet"/>
        <w:numPr>
          <w:ilvl w:val="0"/>
          <w:numId w:val="16"/>
        </w:numPr>
      </w:pPr>
      <w:r w:rsidRPr="00483C38">
        <w:rPr>
          <w:b/>
          <w:bCs/>
        </w:rPr>
        <w:t>Verification</w:t>
      </w:r>
      <w:r w:rsidRPr="00483C38">
        <w:t>: The manufacturer shall provide peak inrush analysis calculations verifying that the peak current magnitudes and, where applicable for circuit breakers, the (I</w:t>
      </w:r>
      <w:r w:rsidR="00B84000">
        <w:t xml:space="preserve"> x </w:t>
      </w:r>
      <w:r w:rsidRPr="00483C38">
        <w:t xml:space="preserve">f) product </w:t>
      </w:r>
      <w:proofErr w:type="gramStart"/>
      <w:r w:rsidRPr="00483C38">
        <w:t>limits,</w:t>
      </w:r>
      <w:proofErr w:type="gramEnd"/>
      <w:r w:rsidRPr="00483C38">
        <w:t xml:space="preserve"> incorporate a defined engineering margin and are within the specific switching device's nameplate capabilities per the latest IEEE standards.</w:t>
      </w:r>
    </w:p>
    <w:p w14:paraId="5FABF01A" w14:textId="77777777" w:rsidR="001C6011" w:rsidRPr="001C6011" w:rsidRDefault="001C6011" w:rsidP="001C6011">
      <w:pPr>
        <w:pStyle w:val="Heading1"/>
      </w:pPr>
      <w:r w:rsidRPr="001C6011">
        <w:t>CAPACITORS AND PROTECTION</w:t>
      </w:r>
    </w:p>
    <w:p w14:paraId="622711AD" w14:textId="410BD191" w:rsidR="001C6011" w:rsidRPr="001C6011" w:rsidRDefault="001C6011" w:rsidP="001C6011">
      <w:pPr>
        <w:pStyle w:val="Heading2"/>
      </w:pPr>
      <w:r w:rsidRPr="001C6011">
        <w:rPr>
          <w:b/>
          <w:bCs/>
        </w:rPr>
        <w:t>General Design and Construction</w:t>
      </w:r>
      <w:r>
        <w:rPr>
          <w:b/>
          <w:bCs/>
        </w:rPr>
        <w:br/>
      </w:r>
      <w:r w:rsidRPr="001C6011">
        <w:t xml:space="preserve">The </w:t>
      </w:r>
      <w:r w:rsidR="00A30178">
        <w:t>capacitor bank</w:t>
      </w:r>
      <w:r w:rsidRPr="001C6011">
        <w:t xml:space="preserve"> shall be equipped with all-film, low-loss, double-bushing capacitors</w:t>
      </w:r>
      <w:r w:rsidR="00B724E5">
        <w:t xml:space="preserve"> rated for harmonic filter duty. </w:t>
      </w:r>
    </w:p>
    <w:p w14:paraId="0FDDF9D6" w14:textId="76D4A873" w:rsidR="001C6011" w:rsidRPr="001C6011" w:rsidRDefault="001C6011" w:rsidP="00B724E5">
      <w:pPr>
        <w:pStyle w:val="11Head-Bullet"/>
      </w:pPr>
      <w:r w:rsidRPr="00F93152">
        <w:rPr>
          <w:b/>
          <w:bCs/>
        </w:rPr>
        <w:t>Acceptable Manufacturers:</w:t>
      </w:r>
      <w:r w:rsidRPr="001C6011">
        <w:t xml:space="preserve"> Capacitors shall be manufactured by Hitachi, Eaton, or GE only. All other manufacturers </w:t>
      </w:r>
      <w:r w:rsidR="00F93152">
        <w:t>will not be accepted.</w:t>
      </w:r>
    </w:p>
    <w:p w14:paraId="51C62E01" w14:textId="632214E9" w:rsidR="001C6011" w:rsidRPr="001C6011" w:rsidRDefault="001C6011" w:rsidP="00B724E5">
      <w:pPr>
        <w:pStyle w:val="11Head-Bullet"/>
      </w:pPr>
      <w:r w:rsidRPr="001753B4">
        <w:rPr>
          <w:b/>
          <w:bCs/>
        </w:rPr>
        <w:lastRenderedPageBreak/>
        <w:t>Standards:</w:t>
      </w:r>
      <w:r w:rsidRPr="001C6011">
        <w:t xml:space="preserve"> </w:t>
      </w:r>
      <w:r w:rsidR="001753B4">
        <w:t>Capacitor u</w:t>
      </w:r>
      <w:r w:rsidRPr="001C6011">
        <w:t xml:space="preserve">nits shall be designed, manufactured, and tested to meet or exceed </w:t>
      </w:r>
      <w:r w:rsidR="001753B4" w:rsidRPr="001753B4">
        <w:rPr>
          <w:color w:val="121212"/>
        </w:rPr>
        <w:t>IEEE 18-2025</w:t>
      </w:r>
      <w:r w:rsidR="001753B4">
        <w:rPr>
          <w:color w:val="121212"/>
        </w:rPr>
        <w:t>,</w:t>
      </w:r>
      <w:r w:rsidR="001753B4" w:rsidRPr="001753B4">
        <w:rPr>
          <w:color w:val="121212"/>
        </w:rPr>
        <w:t xml:space="preserve"> Standard for Shunt Power Capacitors</w:t>
      </w:r>
      <w:r w:rsidR="001753B4">
        <w:rPr>
          <w:color w:val="121212"/>
        </w:rPr>
        <w:t>. For projects shipping to Canada, CSA C22.2 No. 190</w:t>
      </w:r>
      <w:r w:rsidR="001D0D0D">
        <w:rPr>
          <w:color w:val="121212"/>
        </w:rPr>
        <w:t xml:space="preserve"> shall apply.</w:t>
      </w:r>
    </w:p>
    <w:p w14:paraId="3ADFBD19" w14:textId="77777777" w:rsidR="001C6011" w:rsidRPr="001C6011" w:rsidRDefault="001C6011" w:rsidP="00B724E5">
      <w:pPr>
        <w:pStyle w:val="11Head-Bullet"/>
      </w:pPr>
      <w:r w:rsidRPr="0024096B">
        <w:rPr>
          <w:b/>
          <w:bCs/>
        </w:rPr>
        <w:t>Discharge Requirements:</w:t>
      </w:r>
      <w:r w:rsidRPr="001C6011">
        <w:t xml:space="preserve"> Each capacitor unit shall contain internal discharge resistors to reduce the stored residual voltage to 50 volts or less within 5 minutes of </w:t>
      </w:r>
      <w:proofErr w:type="gramStart"/>
      <w:r w:rsidRPr="001C6011">
        <w:t>disconnection</w:t>
      </w:r>
      <w:proofErr w:type="gramEnd"/>
      <w:r w:rsidRPr="001C6011">
        <w:t>.</w:t>
      </w:r>
    </w:p>
    <w:p w14:paraId="41740360" w14:textId="77777777" w:rsidR="00751250" w:rsidRPr="00751250" w:rsidRDefault="001C6011" w:rsidP="001C6011">
      <w:pPr>
        <w:pStyle w:val="Heading2"/>
      </w:pPr>
      <w:r w:rsidRPr="001C6011">
        <w:rPr>
          <w:b/>
          <w:bCs/>
        </w:rPr>
        <w:t>Voltage Rating and Harmonic Duty</w:t>
      </w:r>
    </w:p>
    <w:p w14:paraId="4F190DA4" w14:textId="1181B20F" w:rsidR="001C6011" w:rsidRPr="001C6011" w:rsidRDefault="001C6011" w:rsidP="001C6011">
      <w:pPr>
        <w:pStyle w:val="11Head-Bullet"/>
      </w:pPr>
      <w:r w:rsidRPr="00A214B6">
        <w:rPr>
          <w:b/>
          <w:bCs/>
        </w:rPr>
        <w:t>System Over-voltage:</w:t>
      </w:r>
      <w:r w:rsidRPr="001C6011">
        <w:t xml:space="preserve"> </w:t>
      </w:r>
      <w:r w:rsidR="00E312BA">
        <w:t xml:space="preserve">The capacitors shall be rated for a </w:t>
      </w:r>
      <w:r w:rsidRPr="001C6011">
        <w:t>continuous nominal system over-voltage of 110%</w:t>
      </w:r>
      <w:r w:rsidR="00B724E5">
        <w:t xml:space="preserve"> plus the voltage and current duty that might be experienced if </w:t>
      </w:r>
      <w:r w:rsidR="00723ADE">
        <w:t>this equipment becomes a filter in the future.</w:t>
      </w:r>
    </w:p>
    <w:p w14:paraId="1BEED088" w14:textId="37250DE7" w:rsidR="001C6011" w:rsidRPr="00E312BA" w:rsidRDefault="001C6011" w:rsidP="001C6011">
      <w:pPr>
        <w:pStyle w:val="Heading2"/>
        <w:rPr>
          <w:b/>
          <w:bCs/>
        </w:rPr>
      </w:pPr>
      <w:r w:rsidRPr="00E312BA">
        <w:rPr>
          <w:b/>
          <w:bCs/>
        </w:rPr>
        <w:t>Mechanical Installation</w:t>
      </w:r>
    </w:p>
    <w:p w14:paraId="33C2A7CE" w14:textId="1AF08DEF" w:rsidR="001C6011" w:rsidRPr="001C6011" w:rsidRDefault="001C6011" w:rsidP="001C6011">
      <w:pPr>
        <w:pStyle w:val="11Head-Bullet"/>
      </w:pPr>
      <w:r w:rsidRPr="00CC5ED2">
        <w:rPr>
          <w:b/>
          <w:bCs/>
        </w:rPr>
        <w:t>Compartmentalization:</w:t>
      </w:r>
      <w:r w:rsidRPr="001C6011">
        <w:t xml:space="preserve"> Capacitors shall </w:t>
      </w:r>
      <w:proofErr w:type="gramStart"/>
      <w:r w:rsidRPr="001C6011">
        <w:t>be located in</w:t>
      </w:r>
      <w:proofErr w:type="gramEnd"/>
      <w:r w:rsidRPr="001C6011">
        <w:t xml:space="preserve"> a dedicated compartment, physically separated from the main incoming fuse</w:t>
      </w:r>
      <w:r w:rsidR="00CC5ED2">
        <w:t>, control,</w:t>
      </w:r>
      <w:r w:rsidRPr="001C6011">
        <w:t xml:space="preserve"> and </w:t>
      </w:r>
      <w:r w:rsidR="00CC5ED2">
        <w:t xml:space="preserve">incoming </w:t>
      </w:r>
      <w:r w:rsidRPr="001C6011">
        <w:t>air-disconnec</w:t>
      </w:r>
      <w:r w:rsidR="00CC5ED2">
        <w:t>t</w:t>
      </w:r>
      <w:r w:rsidRPr="001C6011">
        <w:t xml:space="preserve"> switch</w:t>
      </w:r>
      <w:r w:rsidR="00CC5ED2">
        <w:t xml:space="preserve"> or incoming main breaker</w:t>
      </w:r>
      <w:r w:rsidRPr="001C6011">
        <w:t xml:space="preserve"> compartments.</w:t>
      </w:r>
      <w:r w:rsidR="00DC6A85">
        <w:t xml:space="preserve"> </w:t>
      </w:r>
      <w:r w:rsidR="00AC55CE">
        <w:t>They may be mounted near and in the same compartment as the tuning reactors and the branch switching device</w:t>
      </w:r>
      <w:r w:rsidR="00DC6A85">
        <w:t>.</w:t>
      </w:r>
    </w:p>
    <w:p w14:paraId="4DAC5EBB" w14:textId="53A2E6C1" w:rsidR="001C6011" w:rsidRDefault="001C6011" w:rsidP="001C6011">
      <w:pPr>
        <w:pStyle w:val="11Head-Bullet"/>
      </w:pPr>
      <w:r w:rsidRPr="00CC5ED2">
        <w:rPr>
          <w:b/>
          <w:bCs/>
        </w:rPr>
        <w:t>Mounting</w:t>
      </w:r>
      <w:r w:rsidRPr="001C6011">
        <w:rPr>
          <w:b/>
          <w:bCs/>
        </w:rPr>
        <w:t>:</w:t>
      </w:r>
      <w:r w:rsidRPr="001C6011">
        <w:t xml:space="preserve"> Units shall be mounted horizontally </w:t>
      </w:r>
      <w:r w:rsidR="00CC5ED2">
        <w:t xml:space="preserve">or vertically </w:t>
      </w:r>
      <w:r w:rsidRPr="001C6011">
        <w:t>on</w:t>
      </w:r>
      <w:r w:rsidRPr="00CC5ED2">
        <w:t xml:space="preserve"> C4x5.4</w:t>
      </w:r>
      <w:r w:rsidRPr="001C6011">
        <w:t xml:space="preserve"> structural steel channels. The design shall allow for easy removal of units from the front of the enclosure.</w:t>
      </w:r>
    </w:p>
    <w:p w14:paraId="68BAFE0E" w14:textId="107484DF" w:rsidR="001C6011" w:rsidRPr="00CC5ED2" w:rsidRDefault="001C6011" w:rsidP="001C6011">
      <w:pPr>
        <w:pStyle w:val="Heading2"/>
      </w:pPr>
      <w:r w:rsidRPr="001C6011">
        <w:rPr>
          <w:b/>
          <w:bCs/>
        </w:rPr>
        <w:t>Capacitor Branch Protection</w:t>
      </w:r>
      <w:r>
        <w:rPr>
          <w:b/>
          <w:bCs/>
        </w:rPr>
        <w:br/>
      </w:r>
      <w:r w:rsidRPr="001C6011">
        <w:t>Each capacitor unit shall be protected by a high-voltage, current-</w:t>
      </w:r>
      <w:r w:rsidRPr="00CC5ED2">
        <w:t>limiting SIBA fuse equipped with a striker-pin blown fuse indicator.</w:t>
      </w:r>
    </w:p>
    <w:p w14:paraId="68B13BEC" w14:textId="77777777" w:rsidR="001C6011" w:rsidRPr="001C6011" w:rsidRDefault="001C6011" w:rsidP="001C6011">
      <w:pPr>
        <w:pStyle w:val="11Head-Bullet"/>
      </w:pPr>
      <w:r w:rsidRPr="00AD40D4">
        <w:rPr>
          <w:b/>
          <w:bCs/>
        </w:rPr>
        <w:t>Fuse Sizing:</w:t>
      </w:r>
      <w:r w:rsidRPr="001C6011">
        <w:t xml:space="preserve"> The current rating shall be approximately 2.0 times the nominal </w:t>
      </w:r>
      <w:proofErr w:type="gramStart"/>
      <w:r w:rsidRPr="001C6011">
        <w:t>phase current</w:t>
      </w:r>
      <w:proofErr w:type="gramEnd"/>
      <w:r w:rsidRPr="001C6011">
        <w:t xml:space="preserve"> of the capacitor.</w:t>
      </w:r>
    </w:p>
    <w:p w14:paraId="7254A898" w14:textId="77777777" w:rsidR="001C6011" w:rsidRPr="001C6011" w:rsidRDefault="001C6011" w:rsidP="001C6011">
      <w:pPr>
        <w:pStyle w:val="11Head-Bullet"/>
      </w:pPr>
      <w:r w:rsidRPr="00AD40D4">
        <w:rPr>
          <w:b/>
          <w:bCs/>
        </w:rPr>
        <w:t>Fuse Voltage:</w:t>
      </w:r>
      <w:r w:rsidRPr="001C6011">
        <w:t xml:space="preserve"> For grounded-wye banks, the rating shall be at least 1.0x phase-to-ground voltage. For ungrounded banks, the rating shall be at least 1.1x phase-to-ground voltage.</w:t>
      </w:r>
    </w:p>
    <w:p w14:paraId="34D4C395" w14:textId="70F6749B" w:rsidR="001C6011" w:rsidRPr="001C6011" w:rsidRDefault="001C6011" w:rsidP="001C6011">
      <w:pPr>
        <w:pStyle w:val="11Head-Bullet"/>
      </w:pPr>
      <w:r w:rsidRPr="00AD40D4">
        <w:rPr>
          <w:b/>
          <w:bCs/>
        </w:rPr>
        <w:t>Direct Fuse Sensing:</w:t>
      </w:r>
      <w:r w:rsidRPr="001C6011">
        <w:t xml:space="preserve"> The protection </w:t>
      </w:r>
      <w:proofErr w:type="gramStart"/>
      <w:r w:rsidRPr="001C6011">
        <w:t>system shall</w:t>
      </w:r>
      <w:proofErr w:type="gramEnd"/>
      <w:r w:rsidRPr="001C6011">
        <w:t xml:space="preserve"> utilize a SIBA direct fuse sensing system (utilizing microswitches and</w:t>
      </w:r>
      <w:r w:rsidR="00F663DE">
        <w:t xml:space="preserve"> a</w:t>
      </w:r>
      <w:r w:rsidRPr="001C6011">
        <w:t xml:space="preserve"> Bowden </w:t>
      </w:r>
      <w:r w:rsidR="00F663DE">
        <w:t>cable)</w:t>
      </w:r>
      <w:r w:rsidRPr="001C6011">
        <w:t xml:space="preserve"> to detect both blown </w:t>
      </w:r>
      <w:r w:rsidR="00F663DE">
        <w:t xml:space="preserve">fuse </w:t>
      </w:r>
      <w:r w:rsidRPr="001C6011">
        <w:t>and overloaded fuse conditions.</w:t>
      </w:r>
    </w:p>
    <w:p w14:paraId="6160086A" w14:textId="7BA5CE13" w:rsidR="001C6011" w:rsidRPr="001C6011" w:rsidRDefault="001C6011" w:rsidP="001C6011">
      <w:pPr>
        <w:pStyle w:val="11Head-Bullet"/>
      </w:pPr>
      <w:r w:rsidRPr="00F663DE">
        <w:rPr>
          <w:b/>
          <w:bCs/>
        </w:rPr>
        <w:t>Operational Logic:</w:t>
      </w:r>
      <w:r w:rsidRPr="001C6011">
        <w:t xml:space="preserve"> Any detected fuse </w:t>
      </w:r>
      <w:r w:rsidR="008454CE">
        <w:t xml:space="preserve">operation </w:t>
      </w:r>
      <w:r w:rsidRPr="001C6011">
        <w:t xml:space="preserve">shall result in the control system taking the affected </w:t>
      </w:r>
      <w:r w:rsidR="008454CE">
        <w:t>capacitor</w:t>
      </w:r>
      <w:r w:rsidRPr="001C6011">
        <w:t xml:space="preserve"> stage (and any other appropriate stage</w:t>
      </w:r>
      <w:r w:rsidR="00DB129B">
        <w:t xml:space="preserve"> due</w:t>
      </w:r>
      <w:r w:rsidRPr="001C6011">
        <w:t>) offline</w:t>
      </w:r>
      <w:r w:rsidR="008454CE">
        <w:t>.</w:t>
      </w:r>
    </w:p>
    <w:p w14:paraId="3C2FA9D1" w14:textId="742BCEB6" w:rsidR="001C6011" w:rsidRPr="00DB129B" w:rsidRDefault="001C6011" w:rsidP="001C6011">
      <w:pPr>
        <w:pStyle w:val="Heading2"/>
        <w:rPr>
          <w:b/>
          <w:bCs/>
        </w:rPr>
      </w:pPr>
      <w:r w:rsidRPr="00DB129B">
        <w:rPr>
          <w:b/>
          <w:bCs/>
        </w:rPr>
        <w:t xml:space="preserve">Unbalance Detection </w:t>
      </w:r>
      <w:r w:rsidR="00DB129B">
        <w:rPr>
          <w:b/>
          <w:bCs/>
        </w:rPr>
        <w:t>Relay</w:t>
      </w:r>
    </w:p>
    <w:p w14:paraId="0B929291" w14:textId="77777777" w:rsidR="001C6011" w:rsidRPr="001C6011" w:rsidRDefault="001C6011" w:rsidP="001C6011">
      <w:pPr>
        <w:pStyle w:val="11Head-Bullet"/>
      </w:pPr>
      <w:r w:rsidRPr="001C6011">
        <w:rPr>
          <w:b/>
          <w:bCs/>
        </w:rPr>
        <w:t>Split-Wye Neutral Current Detec</w:t>
      </w:r>
      <w:r w:rsidRPr="00DB129B">
        <w:rPr>
          <w:b/>
          <w:bCs/>
        </w:rPr>
        <w:t>tion</w:t>
      </w:r>
      <w:r w:rsidRPr="001C6011">
        <w:t xml:space="preserve"> (Optional): When neutral unbalance protection is specified, it shall utilize a split-wye neutral current detection system. Neutral voltage detection systems are prohibited due to TRV and false-tripping concerns.</w:t>
      </w:r>
    </w:p>
    <w:p w14:paraId="110D7DC6" w14:textId="6A0110DC" w:rsidR="001C6011" w:rsidRPr="001C6011" w:rsidRDefault="001C6011" w:rsidP="001C6011">
      <w:pPr>
        <w:pStyle w:val="11Head-Bullet"/>
      </w:pPr>
      <w:r w:rsidRPr="00DB129B">
        <w:rPr>
          <w:b/>
          <w:bCs/>
        </w:rPr>
        <w:t>Relay Calibration:</w:t>
      </w:r>
      <w:r w:rsidRPr="001C6011">
        <w:t xml:space="preserve"> All </w:t>
      </w:r>
      <w:proofErr w:type="gramStart"/>
      <w:r w:rsidRPr="001C6011">
        <w:t>unbalance</w:t>
      </w:r>
      <w:proofErr w:type="gramEnd"/>
      <w:r w:rsidRPr="001C6011">
        <w:t xml:space="preserve"> relays shall be</w:t>
      </w:r>
      <w:r w:rsidR="00950477">
        <w:t xml:space="preserve"> </w:t>
      </w:r>
      <w:proofErr w:type="gramStart"/>
      <w:r w:rsidR="00950477">
        <w:t>set</w:t>
      </w:r>
      <w:proofErr w:type="gramEnd"/>
      <w:r w:rsidR="00950477">
        <w:t xml:space="preserve"> and ready for operation. </w:t>
      </w:r>
      <w:r w:rsidR="00786EDE">
        <w:t>F</w:t>
      </w:r>
      <w:r w:rsidRPr="001C6011">
        <w:t>actory test report</w:t>
      </w:r>
      <w:r w:rsidR="00786EDE">
        <w:t>s</w:t>
      </w:r>
      <w:r w:rsidRPr="001C6011">
        <w:t xml:space="preserve"> and </w:t>
      </w:r>
      <w:proofErr w:type="gramStart"/>
      <w:r w:rsidRPr="001C6011">
        <w:t>setting sheet</w:t>
      </w:r>
      <w:r w:rsidR="00786EDE">
        <w:t>s</w:t>
      </w:r>
      <w:proofErr w:type="gramEnd"/>
      <w:r w:rsidR="00786EDE">
        <w:t xml:space="preserve"> shall be provided.</w:t>
      </w:r>
    </w:p>
    <w:p w14:paraId="4D9ED824" w14:textId="6AB29C8C" w:rsidR="001C6011" w:rsidRDefault="001C6011" w:rsidP="008C5597">
      <w:pPr>
        <w:pStyle w:val="Heading2"/>
      </w:pPr>
      <w:r w:rsidRPr="003B5144">
        <w:rPr>
          <w:b/>
          <w:bCs/>
        </w:rPr>
        <w:t>Visual Indication:</w:t>
      </w:r>
      <w:r w:rsidR="008C5597">
        <w:rPr>
          <w:b/>
          <w:bCs/>
        </w:rPr>
        <w:br/>
      </w:r>
      <w:r w:rsidRPr="001C6011">
        <w:t xml:space="preserve">A rooftop-mounted </w:t>
      </w:r>
      <w:r w:rsidRPr="008C5597">
        <w:t>NEMA 4X strobe light</w:t>
      </w:r>
      <w:r w:rsidRPr="001C6011">
        <w:t xml:space="preserve"> shall provide external indication of a blown fuse. The strobe shall flash at 80 pulses per minute with a peak candlepower of 175,000.</w:t>
      </w:r>
    </w:p>
    <w:p w14:paraId="5488F6FF" w14:textId="2904374C" w:rsidR="005C7300" w:rsidRPr="005C7300" w:rsidRDefault="005C7300" w:rsidP="005C7300">
      <w:pPr>
        <w:pStyle w:val="Heading1"/>
      </w:pPr>
      <w:proofErr w:type="gramStart"/>
      <w:r>
        <w:t>L</w:t>
      </w:r>
      <w:r w:rsidRPr="005C7300">
        <w:t>IGHTNING</w:t>
      </w:r>
      <w:proofErr w:type="gramEnd"/>
      <w:r>
        <w:t xml:space="preserve"> / </w:t>
      </w:r>
      <w:r w:rsidRPr="005C7300">
        <w:t>SURGE ARRESTERS</w:t>
      </w:r>
    </w:p>
    <w:p w14:paraId="25788A5A" w14:textId="1D833457" w:rsidR="005C7300" w:rsidRDefault="005C7300" w:rsidP="005C7300">
      <w:pPr>
        <w:pStyle w:val="Heading2"/>
      </w:pPr>
      <w:r w:rsidRPr="005C7300">
        <w:rPr>
          <w:b/>
          <w:bCs/>
        </w:rPr>
        <w:t>Protective Classification</w:t>
      </w:r>
      <w:r>
        <w:br/>
      </w:r>
      <w:r w:rsidRPr="005C7300">
        <w:t>The</w:t>
      </w:r>
      <w:r w:rsidR="00783687">
        <w:t xml:space="preserve"> </w:t>
      </w:r>
      <w:r w:rsidR="004D1410">
        <w:t xml:space="preserve">filter ready </w:t>
      </w:r>
      <w:r w:rsidR="00BA469A">
        <w:t>capacitor</w:t>
      </w:r>
      <w:r w:rsidR="004C52C6">
        <w:t xml:space="preserve"> bank</w:t>
      </w:r>
      <w:r w:rsidR="00783687">
        <w:t xml:space="preserve"> shall </w:t>
      </w:r>
      <w:r w:rsidRPr="005C7300">
        <w:t xml:space="preserve">be equipped with </w:t>
      </w:r>
      <w:r w:rsidR="004C52C6">
        <w:t xml:space="preserve">distribution class or </w:t>
      </w:r>
      <w:r w:rsidR="00BA6340">
        <w:t xml:space="preserve">station class </w:t>
      </w:r>
      <w:r w:rsidRPr="005C7300">
        <w:t>surge arresters to provide primary overvoltage protection against atmospheric lightning strikes and system switching transients.</w:t>
      </w:r>
    </w:p>
    <w:p w14:paraId="29E393BD" w14:textId="77777777" w:rsidR="0050582E" w:rsidRDefault="0050582E" w:rsidP="0050582E"/>
    <w:p w14:paraId="27E9BD29" w14:textId="77777777" w:rsidR="0050582E" w:rsidRPr="0050582E" w:rsidRDefault="0050582E" w:rsidP="0050582E"/>
    <w:p w14:paraId="1C605FE3" w14:textId="3FC2B343" w:rsidR="005C7300" w:rsidRPr="005C7300" w:rsidRDefault="005C7300" w:rsidP="005C7300">
      <w:pPr>
        <w:pStyle w:val="Heading2"/>
        <w:rPr>
          <w:b/>
          <w:bCs/>
        </w:rPr>
      </w:pPr>
      <w:r w:rsidRPr="005C7300">
        <w:rPr>
          <w:b/>
          <w:bCs/>
        </w:rPr>
        <w:lastRenderedPageBreak/>
        <w:t>Sizing and Coordination</w:t>
      </w:r>
    </w:p>
    <w:p w14:paraId="384B3BFE" w14:textId="39806B08" w:rsidR="005C7300" w:rsidRPr="005C7300" w:rsidRDefault="005C7300" w:rsidP="00510113">
      <w:pPr>
        <w:pStyle w:val="11Head-Bullet"/>
        <w:numPr>
          <w:ilvl w:val="0"/>
          <w:numId w:val="6"/>
        </w:numPr>
      </w:pPr>
      <w:r w:rsidRPr="005C7300">
        <w:rPr>
          <w:b/>
          <w:bCs/>
        </w:rPr>
        <w:t>Responsibility:</w:t>
      </w:r>
      <w:r w:rsidRPr="005C7300">
        <w:t xml:space="preserve"> The specific voltage and energy discharge ratings of the arresters shall be determined and recommended by the</w:t>
      </w:r>
      <w:r w:rsidR="00BA6340">
        <w:t xml:space="preserve"> </w:t>
      </w:r>
      <w:r w:rsidR="00B611B6">
        <w:t>capacitor</w:t>
      </w:r>
      <w:r w:rsidR="00BA6340">
        <w:t xml:space="preserve"> bank manufacturer</w:t>
      </w:r>
      <w:r w:rsidRPr="005C7300">
        <w:t>.</w:t>
      </w:r>
    </w:p>
    <w:p w14:paraId="39493F6A" w14:textId="0E01BDF7" w:rsidR="005C7300" w:rsidRDefault="005C7300" w:rsidP="00510113">
      <w:pPr>
        <w:pStyle w:val="11Head-Bullet"/>
        <w:numPr>
          <w:ilvl w:val="0"/>
          <w:numId w:val="6"/>
        </w:numPr>
      </w:pPr>
      <w:r w:rsidRPr="005C7300">
        <w:rPr>
          <w:b/>
          <w:bCs/>
        </w:rPr>
        <w:t>Selection Criteria:</w:t>
      </w:r>
      <w:r w:rsidRPr="005C7300">
        <w:t xml:space="preserve"> The selection shall ensure proper insulation coordination with the </w:t>
      </w:r>
      <w:r w:rsidR="00B611B6">
        <w:t xml:space="preserve">equipment BIL </w:t>
      </w:r>
      <w:r w:rsidRPr="005C7300">
        <w:t>and the specific grounding configuration (solidly grounded, ungrounded, or resistance grounded) of the host utility or facility power system.</w:t>
      </w:r>
    </w:p>
    <w:p w14:paraId="72143A46" w14:textId="3E52D106" w:rsidR="00AA4DE3" w:rsidRPr="00AA4DE3" w:rsidRDefault="00AA4DE3" w:rsidP="00AA4DE3">
      <w:pPr>
        <w:pStyle w:val="Heading1"/>
      </w:pPr>
      <w:r w:rsidRPr="00AA4DE3">
        <w:t>PHASE AND GROUND BUS</w:t>
      </w:r>
    </w:p>
    <w:p w14:paraId="335149CF" w14:textId="410335AC" w:rsidR="00AA4DE3" w:rsidRPr="00AA4DE3" w:rsidRDefault="00AA4DE3" w:rsidP="002A5D83">
      <w:pPr>
        <w:pStyle w:val="Heading2"/>
      </w:pPr>
      <w:r w:rsidRPr="00AA4DE3">
        <w:rPr>
          <w:b/>
          <w:bCs/>
        </w:rPr>
        <w:t>Material and Plating</w:t>
      </w:r>
      <w:r>
        <w:br/>
      </w:r>
      <w:r w:rsidRPr="00AA4DE3">
        <w:t xml:space="preserve">All primary phase and ground busbars shall be fabricated from high-conductivity copper and </w:t>
      </w:r>
      <w:r w:rsidRPr="00AA4DE3">
        <w:rPr>
          <w:b/>
          <w:bCs/>
        </w:rPr>
        <w:t>tin-plated</w:t>
      </w:r>
      <w:r w:rsidRPr="00AA4DE3">
        <w:t xml:space="preserve"> at all contact surfaces and throughout their length to ensure maximum conductivity and long-term corrosion resistance.</w:t>
      </w:r>
    </w:p>
    <w:p w14:paraId="3E406E4D" w14:textId="471D6359" w:rsidR="00AA4DE3" w:rsidRPr="00AA4DE3" w:rsidRDefault="00AA4DE3" w:rsidP="008B53B6">
      <w:pPr>
        <w:pStyle w:val="Heading2"/>
      </w:pPr>
      <w:r w:rsidRPr="00AA4DE3">
        <w:rPr>
          <w:b/>
          <w:bCs/>
        </w:rPr>
        <w:t>Bolted Connections and Hardware</w:t>
      </w:r>
      <w:r>
        <w:br/>
      </w:r>
      <w:r w:rsidRPr="00AA4DE3">
        <w:t>All bus-to-bus bolted joints shall be secured using 3/8” – 16 stainless steel hardware to ensure consistent contact pressure. Each bolted connection shall include:</w:t>
      </w:r>
    </w:p>
    <w:p w14:paraId="48D45B63" w14:textId="77777777" w:rsidR="00AA4DE3" w:rsidRPr="00AA4DE3" w:rsidRDefault="00AA4DE3" w:rsidP="00510113">
      <w:pPr>
        <w:pStyle w:val="11Head-Bullet"/>
        <w:numPr>
          <w:ilvl w:val="0"/>
          <w:numId w:val="7"/>
        </w:numPr>
      </w:pPr>
      <w:r w:rsidRPr="00AA4DE3">
        <w:t>One (1) stainless steel bolt.</w:t>
      </w:r>
    </w:p>
    <w:p w14:paraId="15C2AF85" w14:textId="77777777" w:rsidR="00AA4DE3" w:rsidRPr="00AA4DE3" w:rsidRDefault="00AA4DE3" w:rsidP="00510113">
      <w:pPr>
        <w:pStyle w:val="11Head-Bullet"/>
        <w:numPr>
          <w:ilvl w:val="0"/>
          <w:numId w:val="7"/>
        </w:numPr>
      </w:pPr>
      <w:r w:rsidRPr="00AA4DE3">
        <w:t>Two (2) stainless steel flat washers (one under the bolt head, one under the nut).</w:t>
      </w:r>
    </w:p>
    <w:p w14:paraId="68D450E3" w14:textId="77777777" w:rsidR="00AA4DE3" w:rsidRPr="00AA4DE3" w:rsidRDefault="00AA4DE3" w:rsidP="00510113">
      <w:pPr>
        <w:pStyle w:val="11Head-Bullet"/>
        <w:numPr>
          <w:ilvl w:val="0"/>
          <w:numId w:val="7"/>
        </w:numPr>
      </w:pPr>
      <w:r w:rsidRPr="00AA4DE3">
        <w:t>One (1) stainless steel split lockwasher (positioned between the flat washer and the nut).</w:t>
      </w:r>
    </w:p>
    <w:p w14:paraId="343010EC" w14:textId="77777777" w:rsidR="00AA4DE3" w:rsidRPr="00AA4DE3" w:rsidRDefault="00AA4DE3" w:rsidP="00510113">
      <w:pPr>
        <w:pStyle w:val="11Head-Bullet"/>
        <w:numPr>
          <w:ilvl w:val="0"/>
          <w:numId w:val="7"/>
        </w:numPr>
      </w:pPr>
      <w:r w:rsidRPr="00AA4DE3">
        <w:t>One (1) stainless steel nut.</w:t>
      </w:r>
    </w:p>
    <w:p w14:paraId="3305FC43" w14:textId="3E5EDE19" w:rsidR="00AA4DE3" w:rsidRPr="00AA4DE3" w:rsidRDefault="00AA4DE3" w:rsidP="00AA4DE3">
      <w:pPr>
        <w:pStyle w:val="Heading2"/>
        <w:rPr>
          <w:b/>
          <w:bCs/>
        </w:rPr>
      </w:pPr>
      <w:r w:rsidRPr="00AA4DE3">
        <w:rPr>
          <w:b/>
          <w:bCs/>
        </w:rPr>
        <w:t>Electrical and Thermal Ratings</w:t>
      </w:r>
    </w:p>
    <w:p w14:paraId="07AB579B" w14:textId="4F98249C" w:rsidR="00AA4DE3" w:rsidRPr="00AA4DE3" w:rsidRDefault="00AA4DE3" w:rsidP="00510113">
      <w:pPr>
        <w:pStyle w:val="11Head-Bullet"/>
        <w:numPr>
          <w:ilvl w:val="0"/>
          <w:numId w:val="8"/>
        </w:numPr>
      </w:pPr>
      <w:r w:rsidRPr="00AA4DE3">
        <w:rPr>
          <w:b/>
          <w:bCs/>
        </w:rPr>
        <w:t>Current Density:</w:t>
      </w:r>
      <w:r w:rsidRPr="00AA4DE3">
        <w:t xml:space="preserve"> The bus system shall be sized such that the current density does not exceed 1200 Amps per square inch at the maximum continuous rating of the bank.</w:t>
      </w:r>
    </w:p>
    <w:p w14:paraId="534C90CD" w14:textId="40277FB8" w:rsidR="00AA4DE3" w:rsidRPr="00AA4DE3" w:rsidRDefault="00AA4DE3" w:rsidP="00510113">
      <w:pPr>
        <w:pStyle w:val="11Head-Bullet"/>
        <w:numPr>
          <w:ilvl w:val="0"/>
          <w:numId w:val="8"/>
        </w:numPr>
      </w:pPr>
      <w:r w:rsidRPr="00AA4DE3">
        <w:rPr>
          <w:b/>
          <w:bCs/>
        </w:rPr>
        <w:t>Expansion Capability:</w:t>
      </w:r>
      <w:r w:rsidRPr="00AA4DE3">
        <w:t xml:space="preserve"> Where future expansion is specified or required, the buswork shall be rated for the maximum ultimate capacity of the </w:t>
      </w:r>
      <w:r w:rsidR="00C66FDC">
        <w:t>capacitor bank</w:t>
      </w:r>
      <w:r w:rsidRPr="00AA4DE3">
        <w:t>.</w:t>
      </w:r>
    </w:p>
    <w:p w14:paraId="504D99FE" w14:textId="420E5976" w:rsidR="00AA4DE3" w:rsidRDefault="00AA4DE3" w:rsidP="00413D22">
      <w:pPr>
        <w:pStyle w:val="Heading2"/>
      </w:pPr>
      <w:r w:rsidRPr="00AA4DE3">
        <w:rPr>
          <w:b/>
          <w:bCs/>
        </w:rPr>
        <w:t>Mechanical Strength and Short-Circuit Withstand</w:t>
      </w:r>
      <w:r w:rsidRPr="00AA4DE3">
        <w:rPr>
          <w:b/>
          <w:bCs/>
        </w:rPr>
        <w:br/>
      </w:r>
      <w:r w:rsidRPr="00AA4DE3">
        <w:t xml:space="preserve">The busbars, primary interconnections, and their associated supports (insulators) shall be mechanically engineered to withstand the electromagnetic stresses associated with the specified peak available short-circuit current at the terminals of the </w:t>
      </w:r>
      <w:r w:rsidR="00C66FDC">
        <w:t>capacitor bank</w:t>
      </w:r>
      <w:r w:rsidRPr="00AA4DE3">
        <w:t>.</w:t>
      </w:r>
    </w:p>
    <w:p w14:paraId="204EBABD" w14:textId="332D2562" w:rsidR="00A073EE" w:rsidRPr="00A073EE" w:rsidRDefault="00A073EE" w:rsidP="00A073EE">
      <w:pPr>
        <w:pStyle w:val="Heading1"/>
      </w:pPr>
      <w:r w:rsidRPr="00A073EE">
        <w:t>KEYED INTERLOCK SYSTEM</w:t>
      </w:r>
    </w:p>
    <w:p w14:paraId="075EB1FD" w14:textId="597C5985" w:rsidR="00A073EE" w:rsidRPr="00A073EE" w:rsidRDefault="00A073EE" w:rsidP="00A073EE">
      <w:pPr>
        <w:pStyle w:val="Heading2"/>
      </w:pPr>
      <w:r w:rsidRPr="00A073EE">
        <w:rPr>
          <w:b/>
          <w:bCs/>
        </w:rPr>
        <w:t>General Requirements</w:t>
      </w:r>
      <w:r>
        <w:rPr>
          <w:b/>
          <w:bCs/>
        </w:rPr>
        <w:br/>
      </w:r>
      <w:r w:rsidRPr="00A073EE">
        <w:t xml:space="preserve">The </w:t>
      </w:r>
      <w:r w:rsidR="00C66FDC">
        <w:t>capacitor bank</w:t>
      </w:r>
      <w:r w:rsidRPr="00A073EE">
        <w:t xml:space="preserve"> shall be equipped with a comprehensive trapped-key interlock system. This system is mandatory to enforce a strict safety sequence, preventing unauthorized entry and ensuring that all high-voltage components are de-energized and grounded before enclosure doors can be opened.</w:t>
      </w:r>
    </w:p>
    <w:p w14:paraId="56DEFBC5" w14:textId="58801E04" w:rsidR="00A073EE" w:rsidRPr="00A073EE" w:rsidRDefault="00A073EE" w:rsidP="00A073EE">
      <w:pPr>
        <w:pStyle w:val="Heading2"/>
        <w:rPr>
          <w:b/>
          <w:bCs/>
        </w:rPr>
      </w:pPr>
      <w:r w:rsidRPr="00A073EE">
        <w:rPr>
          <w:b/>
          <w:bCs/>
        </w:rPr>
        <w:t>System Configuration and Hardware</w:t>
      </w:r>
    </w:p>
    <w:p w14:paraId="436D8BA2" w14:textId="77777777" w:rsidR="00A073EE" w:rsidRPr="00A073EE" w:rsidRDefault="00A073EE" w:rsidP="00A073EE">
      <w:pPr>
        <w:pStyle w:val="11Head-Bullet"/>
      </w:pPr>
      <w:r w:rsidRPr="00A073EE">
        <w:rPr>
          <w:b/>
          <w:bCs/>
        </w:rPr>
        <w:t>Mounting:</w:t>
      </w:r>
      <w:r w:rsidRPr="00A073EE">
        <w:t xml:space="preserve"> Keyed interlocks shall be mounted behind the enclosure doors, with only the key cylinders protruding through the door face.</w:t>
      </w:r>
    </w:p>
    <w:p w14:paraId="5C92A23D" w14:textId="77777777" w:rsidR="00A073EE" w:rsidRPr="00A073EE" w:rsidRDefault="00A073EE" w:rsidP="00A073EE">
      <w:pPr>
        <w:pStyle w:val="11Head-Bullet"/>
      </w:pPr>
      <w:r w:rsidRPr="00A073EE">
        <w:rPr>
          <w:b/>
          <w:bCs/>
        </w:rPr>
        <w:t>Environmental Protection:</w:t>
      </w:r>
      <w:r w:rsidRPr="00A073EE">
        <w:t xml:space="preserve"> All lock cylinders shall be equipped with stainless steel spring-loaded covers to protect against debris and moisture.</w:t>
      </w:r>
    </w:p>
    <w:p w14:paraId="0066D694" w14:textId="77777777" w:rsidR="00A073EE" w:rsidRPr="00A073EE" w:rsidRDefault="00A073EE" w:rsidP="00A073EE">
      <w:pPr>
        <w:pStyle w:val="11Head-Bullet"/>
      </w:pPr>
      <w:r w:rsidRPr="00A073EE">
        <w:rPr>
          <w:b/>
          <w:bCs/>
        </w:rPr>
        <w:t>Design Restrictions:</w:t>
      </w:r>
      <w:r w:rsidRPr="00A073EE">
        <w:t xml:space="preserve"> The system shall allow all doors to be opened simultaneously once the sequence is initiated. Master key interchanges and externally mounted (surface-mounted) interlocks are prohibited.</w:t>
      </w:r>
    </w:p>
    <w:p w14:paraId="0442AC22" w14:textId="2F5C7CF4" w:rsidR="00A073EE" w:rsidRPr="00A073EE" w:rsidRDefault="00A073EE" w:rsidP="00A073EE">
      <w:pPr>
        <w:pStyle w:val="Heading2"/>
      </w:pPr>
      <w:r w:rsidRPr="00A073EE">
        <w:rPr>
          <w:b/>
          <w:bCs/>
        </w:rPr>
        <w:lastRenderedPageBreak/>
        <w:t>Sequential Interlock Logic</w:t>
      </w:r>
      <w:r w:rsidRPr="00A073EE">
        <w:t xml:space="preserve"> The interlock scheme shall encompass the upstream protective device (where applicable), the main air-disconnect switch</w:t>
      </w:r>
      <w:r w:rsidR="008F4F0C">
        <w:t xml:space="preserve"> (or main breaker if used)</w:t>
      </w:r>
      <w:r w:rsidRPr="00A073EE">
        <w:t>, the ground switch, and all enclosure doors. The mandatory operating sequence shall be as follows:</w:t>
      </w:r>
    </w:p>
    <w:p w14:paraId="0CD248F5" w14:textId="41191B97" w:rsidR="00A073EE" w:rsidRPr="00A073EE" w:rsidRDefault="00A073EE" w:rsidP="00510113">
      <w:pPr>
        <w:numPr>
          <w:ilvl w:val="0"/>
          <w:numId w:val="9"/>
        </w:numPr>
        <w:rPr>
          <w:rFonts w:ascii="Aptos" w:hAnsi="Aptos"/>
          <w:sz w:val="20"/>
          <w:szCs w:val="20"/>
        </w:rPr>
      </w:pPr>
      <w:r w:rsidRPr="00A073EE">
        <w:rPr>
          <w:rFonts w:ascii="Aptos" w:hAnsi="Aptos"/>
          <w:b/>
          <w:bCs/>
          <w:sz w:val="20"/>
          <w:szCs w:val="20"/>
        </w:rPr>
        <w:t>De-energization of Stages:</w:t>
      </w:r>
      <w:r w:rsidRPr="00A073EE">
        <w:rPr>
          <w:rFonts w:ascii="Aptos" w:hAnsi="Aptos"/>
          <w:sz w:val="20"/>
          <w:szCs w:val="20"/>
        </w:rPr>
        <w:t xml:space="preserve"> Manually switch all</w:t>
      </w:r>
      <w:r w:rsidR="008F4F0C">
        <w:rPr>
          <w:rFonts w:ascii="Aptos" w:hAnsi="Aptos"/>
          <w:sz w:val="20"/>
          <w:szCs w:val="20"/>
        </w:rPr>
        <w:t xml:space="preserve"> </w:t>
      </w:r>
      <w:r w:rsidR="00BA469A">
        <w:rPr>
          <w:rFonts w:ascii="Aptos" w:hAnsi="Aptos"/>
          <w:sz w:val="20"/>
          <w:szCs w:val="20"/>
        </w:rPr>
        <w:t>capacitor</w:t>
      </w:r>
      <w:r w:rsidR="008F4F0C">
        <w:rPr>
          <w:rFonts w:ascii="Aptos" w:hAnsi="Aptos"/>
          <w:sz w:val="20"/>
          <w:szCs w:val="20"/>
        </w:rPr>
        <w:t xml:space="preserve"> stages </w:t>
      </w:r>
      <w:r w:rsidRPr="00A073EE">
        <w:rPr>
          <w:rFonts w:ascii="Aptos" w:hAnsi="Aptos"/>
          <w:sz w:val="20"/>
          <w:szCs w:val="20"/>
        </w:rPr>
        <w:t xml:space="preserve">to the </w:t>
      </w:r>
      <w:r w:rsidRPr="00A073EE">
        <w:rPr>
          <w:rFonts w:ascii="Aptos" w:hAnsi="Aptos"/>
          <w:b/>
          <w:bCs/>
          <w:sz w:val="20"/>
          <w:szCs w:val="20"/>
        </w:rPr>
        <w:t>OFF</w:t>
      </w:r>
      <w:r w:rsidRPr="00A073EE">
        <w:rPr>
          <w:rFonts w:ascii="Aptos" w:hAnsi="Aptos"/>
          <w:sz w:val="20"/>
          <w:szCs w:val="20"/>
        </w:rPr>
        <w:t xml:space="preserve"> position using the local ON/OFF/AUTO control switches.</w:t>
      </w:r>
    </w:p>
    <w:p w14:paraId="7A458E1E" w14:textId="77777777" w:rsidR="00A073EE" w:rsidRPr="00A073EE" w:rsidRDefault="00A073EE" w:rsidP="00510113">
      <w:pPr>
        <w:numPr>
          <w:ilvl w:val="0"/>
          <w:numId w:val="9"/>
        </w:numPr>
        <w:rPr>
          <w:rFonts w:ascii="Aptos" w:hAnsi="Aptos"/>
          <w:sz w:val="20"/>
          <w:szCs w:val="20"/>
        </w:rPr>
      </w:pPr>
      <w:r w:rsidRPr="00A073EE">
        <w:rPr>
          <w:rFonts w:ascii="Aptos" w:hAnsi="Aptos"/>
          <w:b/>
          <w:bCs/>
          <w:sz w:val="20"/>
          <w:szCs w:val="20"/>
        </w:rPr>
        <w:t>Isolation and Grounding:</w:t>
      </w:r>
      <w:r w:rsidRPr="00A073EE">
        <w:rPr>
          <w:rFonts w:ascii="Aptos" w:hAnsi="Aptos"/>
          <w:sz w:val="20"/>
          <w:szCs w:val="20"/>
        </w:rPr>
        <w:t xml:space="preserve"> Use the primary "A1" key to unlock the air-disconnect switch. Open the air-disconnect switch and subsequently close the mechanically interlocked ground switch.</w:t>
      </w:r>
    </w:p>
    <w:p w14:paraId="596A07E0" w14:textId="77777777" w:rsidR="00A073EE" w:rsidRPr="00A073EE" w:rsidRDefault="00A073EE" w:rsidP="00510113">
      <w:pPr>
        <w:numPr>
          <w:ilvl w:val="0"/>
          <w:numId w:val="9"/>
        </w:numPr>
        <w:rPr>
          <w:rFonts w:ascii="Aptos" w:hAnsi="Aptos"/>
          <w:sz w:val="20"/>
          <w:szCs w:val="20"/>
        </w:rPr>
      </w:pPr>
      <w:r w:rsidRPr="00A073EE">
        <w:rPr>
          <w:rFonts w:ascii="Aptos" w:hAnsi="Aptos"/>
          <w:b/>
          <w:bCs/>
          <w:sz w:val="20"/>
          <w:szCs w:val="20"/>
        </w:rPr>
        <w:t>Key Release (Grounding):</w:t>
      </w:r>
      <w:r w:rsidRPr="00A073EE">
        <w:rPr>
          <w:rFonts w:ascii="Aptos" w:hAnsi="Aptos"/>
          <w:sz w:val="20"/>
          <w:szCs w:val="20"/>
        </w:rPr>
        <w:t xml:space="preserve"> Remove the "A2" key from the ground switch. The removal of this key shall mechanically lock the ground switch in the </w:t>
      </w:r>
      <w:r w:rsidRPr="00A073EE">
        <w:rPr>
          <w:rFonts w:ascii="Aptos" w:hAnsi="Aptos"/>
          <w:b/>
          <w:bCs/>
          <w:sz w:val="20"/>
          <w:szCs w:val="20"/>
        </w:rPr>
        <w:t>CLOSED</w:t>
      </w:r>
      <w:r w:rsidRPr="00A073EE">
        <w:rPr>
          <w:rFonts w:ascii="Aptos" w:hAnsi="Aptos"/>
          <w:sz w:val="20"/>
          <w:szCs w:val="20"/>
        </w:rPr>
        <w:t xml:space="preserve"> (grounded) position.</w:t>
      </w:r>
    </w:p>
    <w:p w14:paraId="53BCFF0E" w14:textId="70ABD4DB" w:rsidR="00A073EE" w:rsidRPr="00A073EE" w:rsidRDefault="00A073EE" w:rsidP="00510113">
      <w:pPr>
        <w:numPr>
          <w:ilvl w:val="0"/>
          <w:numId w:val="9"/>
        </w:numPr>
        <w:rPr>
          <w:rFonts w:ascii="Aptos" w:hAnsi="Aptos"/>
          <w:sz w:val="20"/>
          <w:szCs w:val="20"/>
        </w:rPr>
      </w:pPr>
      <w:r w:rsidRPr="00A073EE">
        <w:rPr>
          <w:rFonts w:ascii="Aptos" w:hAnsi="Aptos"/>
          <w:b/>
          <w:bCs/>
          <w:sz w:val="20"/>
          <w:szCs w:val="20"/>
        </w:rPr>
        <w:t>Primary Access:</w:t>
      </w:r>
      <w:r w:rsidRPr="00A073EE">
        <w:rPr>
          <w:rFonts w:ascii="Aptos" w:hAnsi="Aptos"/>
          <w:sz w:val="20"/>
          <w:szCs w:val="20"/>
        </w:rPr>
        <w:t xml:space="preserve"> Use the "A2" key to unlock the Air-</w:t>
      </w:r>
      <w:proofErr w:type="gramStart"/>
      <w:r w:rsidRPr="00A073EE">
        <w:rPr>
          <w:rFonts w:ascii="Aptos" w:hAnsi="Aptos"/>
          <w:sz w:val="20"/>
          <w:szCs w:val="20"/>
        </w:rPr>
        <w:t>Disconnect Switch</w:t>
      </w:r>
      <w:proofErr w:type="gramEnd"/>
      <w:r w:rsidRPr="00A073EE">
        <w:rPr>
          <w:rFonts w:ascii="Aptos" w:hAnsi="Aptos"/>
          <w:sz w:val="20"/>
          <w:szCs w:val="20"/>
        </w:rPr>
        <w:t xml:space="preserve"> External Compartment Door. Upon opening, the "A3" key shall be released from the door lock.</w:t>
      </w:r>
      <w:r w:rsidR="003419B8">
        <w:rPr>
          <w:rFonts w:ascii="Aptos" w:hAnsi="Aptos"/>
          <w:sz w:val="20"/>
          <w:szCs w:val="20"/>
        </w:rPr>
        <w:br/>
      </w:r>
    </w:p>
    <w:p w14:paraId="14919E65" w14:textId="1C8E7BB3" w:rsidR="00A073EE" w:rsidRPr="00A073EE" w:rsidRDefault="00A073EE" w:rsidP="00510113">
      <w:pPr>
        <w:numPr>
          <w:ilvl w:val="1"/>
          <w:numId w:val="9"/>
        </w:numPr>
        <w:rPr>
          <w:rFonts w:ascii="Aptos" w:hAnsi="Aptos"/>
          <w:sz w:val="20"/>
          <w:szCs w:val="20"/>
        </w:rPr>
      </w:pPr>
      <w:r w:rsidRPr="00A073EE">
        <w:rPr>
          <w:rFonts w:ascii="Aptos" w:hAnsi="Aptos"/>
          <w:i/>
          <w:iCs/>
          <w:sz w:val="20"/>
          <w:szCs w:val="20"/>
        </w:rPr>
        <w:t xml:space="preserve">Note: Access to the switch terminals </w:t>
      </w:r>
      <w:r w:rsidR="009F51F6">
        <w:rPr>
          <w:rFonts w:ascii="Aptos" w:hAnsi="Aptos"/>
          <w:i/>
          <w:iCs/>
          <w:sz w:val="20"/>
          <w:szCs w:val="20"/>
        </w:rPr>
        <w:t xml:space="preserve">(or breaker terminals) </w:t>
      </w:r>
      <w:r w:rsidRPr="00A073EE">
        <w:rPr>
          <w:rFonts w:ascii="Aptos" w:hAnsi="Aptos"/>
          <w:i/>
          <w:iCs/>
          <w:sz w:val="20"/>
          <w:szCs w:val="20"/>
        </w:rPr>
        <w:t>remains blocked by the internal hinged barrier. If specified, this internal barrier can be further interlocked with the upstream feeder breaker.</w:t>
      </w:r>
      <w:r w:rsidR="003419B8">
        <w:rPr>
          <w:rFonts w:ascii="Aptos" w:hAnsi="Aptos"/>
          <w:i/>
          <w:iCs/>
          <w:sz w:val="20"/>
          <w:szCs w:val="20"/>
        </w:rPr>
        <w:br/>
      </w:r>
    </w:p>
    <w:p w14:paraId="31764828" w14:textId="60A00F88" w:rsidR="00A073EE" w:rsidRPr="00A073EE" w:rsidRDefault="00A073EE" w:rsidP="00510113">
      <w:pPr>
        <w:numPr>
          <w:ilvl w:val="0"/>
          <w:numId w:val="9"/>
        </w:numPr>
        <w:rPr>
          <w:rFonts w:ascii="Aptos" w:hAnsi="Aptos"/>
          <w:sz w:val="20"/>
          <w:szCs w:val="20"/>
        </w:rPr>
      </w:pPr>
      <w:r w:rsidRPr="00A073EE">
        <w:rPr>
          <w:rFonts w:ascii="Aptos" w:hAnsi="Aptos"/>
          <w:b/>
          <w:bCs/>
          <w:sz w:val="20"/>
          <w:szCs w:val="20"/>
        </w:rPr>
        <w:t>Sequential Door Release:</w:t>
      </w:r>
      <w:r w:rsidRPr="00A073EE">
        <w:rPr>
          <w:rFonts w:ascii="Aptos" w:hAnsi="Aptos"/>
          <w:sz w:val="20"/>
          <w:szCs w:val="20"/>
        </w:rPr>
        <w:t xml:space="preserve"> Use the "A3" key to open the first </w:t>
      </w:r>
      <w:r w:rsidR="00D43B1D">
        <w:rPr>
          <w:rFonts w:ascii="Aptos" w:hAnsi="Aptos"/>
          <w:sz w:val="20"/>
          <w:szCs w:val="20"/>
        </w:rPr>
        <w:t xml:space="preserve">filter branch </w:t>
      </w:r>
      <w:r w:rsidRPr="00A073EE">
        <w:rPr>
          <w:rFonts w:ascii="Aptos" w:hAnsi="Aptos"/>
          <w:sz w:val="20"/>
          <w:szCs w:val="20"/>
        </w:rPr>
        <w:t>compartment door, which releases the "A4" key.</w:t>
      </w:r>
    </w:p>
    <w:p w14:paraId="21BAFA9A" w14:textId="77777777" w:rsidR="00A073EE" w:rsidRPr="00A073EE" w:rsidRDefault="00A073EE" w:rsidP="00510113">
      <w:pPr>
        <w:numPr>
          <w:ilvl w:val="1"/>
          <w:numId w:val="9"/>
        </w:numPr>
        <w:rPr>
          <w:rFonts w:ascii="Aptos" w:hAnsi="Aptos"/>
          <w:sz w:val="20"/>
          <w:szCs w:val="20"/>
        </w:rPr>
      </w:pPr>
      <w:r w:rsidRPr="00A073EE">
        <w:rPr>
          <w:rFonts w:ascii="Aptos" w:hAnsi="Aptos"/>
          <w:sz w:val="20"/>
          <w:szCs w:val="20"/>
        </w:rPr>
        <w:t>Use the "A4" key to open the subsequent door, releasing the next key in the sequence (if applicable).</w:t>
      </w:r>
    </w:p>
    <w:p w14:paraId="1D2CB825" w14:textId="77777777" w:rsidR="00A073EE" w:rsidRDefault="00A073EE" w:rsidP="00510113">
      <w:pPr>
        <w:numPr>
          <w:ilvl w:val="0"/>
          <w:numId w:val="9"/>
        </w:numPr>
        <w:rPr>
          <w:rFonts w:ascii="Aptos" w:hAnsi="Aptos"/>
          <w:sz w:val="20"/>
          <w:szCs w:val="20"/>
        </w:rPr>
      </w:pPr>
      <w:r w:rsidRPr="00A073EE">
        <w:rPr>
          <w:rFonts w:ascii="Aptos" w:hAnsi="Aptos"/>
          <w:b/>
          <w:bCs/>
          <w:sz w:val="20"/>
          <w:szCs w:val="20"/>
        </w:rPr>
        <w:t>Final Access:</w:t>
      </w:r>
      <w:r w:rsidRPr="00A073EE">
        <w:rPr>
          <w:rFonts w:ascii="Aptos" w:hAnsi="Aptos"/>
          <w:sz w:val="20"/>
          <w:szCs w:val="20"/>
        </w:rPr>
        <w:t xml:space="preserve"> This "daisy-chain" procedure shall be repeated until all enclosure doors are unlocked and open.</w:t>
      </w:r>
    </w:p>
    <w:p w14:paraId="6A0FFC5A" w14:textId="77777777" w:rsidR="00D95725" w:rsidRPr="00D95725" w:rsidRDefault="00D95725" w:rsidP="00D95725">
      <w:pPr>
        <w:pStyle w:val="Heading1"/>
      </w:pPr>
      <w:r w:rsidRPr="00D95725">
        <w:t>CONTROLS AND PROTECTION</w:t>
      </w:r>
    </w:p>
    <w:p w14:paraId="0250ED7A" w14:textId="76F65E6C" w:rsidR="00D95725" w:rsidRPr="00D95725" w:rsidRDefault="00D95725" w:rsidP="00D95725">
      <w:pPr>
        <w:pStyle w:val="Heading2"/>
      </w:pPr>
      <w:r w:rsidRPr="00D95725">
        <w:rPr>
          <w:b/>
          <w:bCs/>
        </w:rPr>
        <w:t>Control Compartment and Isolation</w:t>
      </w:r>
    </w:p>
    <w:p w14:paraId="75B3208F" w14:textId="77777777" w:rsidR="00D95725" w:rsidRPr="00D95725" w:rsidRDefault="00D95725" w:rsidP="00D95725">
      <w:pPr>
        <w:pStyle w:val="11Head-Bullet"/>
      </w:pPr>
      <w:r w:rsidRPr="00D95725">
        <w:rPr>
          <w:b/>
          <w:bCs/>
        </w:rPr>
        <w:t>Integration:</w:t>
      </w:r>
      <w:r w:rsidRPr="00D95725">
        <w:t xml:space="preserve"> The control compartment shall be an integral part of the enclosure; externally mounted control cabinets are prohibited.</w:t>
      </w:r>
    </w:p>
    <w:p w14:paraId="73F4F37A" w14:textId="77777777" w:rsidR="00D95725" w:rsidRPr="00D95725" w:rsidRDefault="00D95725" w:rsidP="00D95725">
      <w:pPr>
        <w:pStyle w:val="11Head-Bullet"/>
      </w:pPr>
      <w:r w:rsidRPr="00D95725">
        <w:rPr>
          <w:b/>
          <w:bCs/>
        </w:rPr>
        <w:t>Isolation:</w:t>
      </w:r>
      <w:r w:rsidRPr="00D95725">
        <w:t xml:space="preserve"> All low-voltage controls shall be physically isolated from high-voltage compartments via grounded steel barriers and shall remain safely accessible while the bank is energized.</w:t>
      </w:r>
    </w:p>
    <w:p w14:paraId="172D84E3" w14:textId="77777777" w:rsidR="00D95725" w:rsidRPr="00D95725" w:rsidRDefault="00D95725" w:rsidP="00D95725">
      <w:pPr>
        <w:pStyle w:val="11Head-Bullet"/>
      </w:pPr>
      <w:r w:rsidRPr="00D95725">
        <w:rPr>
          <w:b/>
          <w:bCs/>
        </w:rPr>
        <w:t>Entry and Wiring:</w:t>
      </w:r>
      <w:r w:rsidRPr="00D95725">
        <w:t xml:space="preserve"> The compartment shall facilitate top or bottom entry for customer control wiring without requiring access to medium-voltage sections. All control wiring traversing high-voltage areas must be enclosed in metal conduit or integrated wire troughs.</w:t>
      </w:r>
    </w:p>
    <w:p w14:paraId="484FABCA" w14:textId="77777777" w:rsidR="00D95725" w:rsidRPr="00D95725" w:rsidRDefault="00D95725" w:rsidP="00D95725">
      <w:pPr>
        <w:pStyle w:val="11Head-Bullet"/>
      </w:pPr>
      <w:r w:rsidRPr="00D95725">
        <w:rPr>
          <w:b/>
          <w:bCs/>
        </w:rPr>
        <w:t>Ergonomics:</w:t>
      </w:r>
      <w:r w:rsidRPr="00D95725">
        <w:t xml:space="preserve"> The compartment shall feature a swing-out dead-front panel to provide rear access to panel-mounted components and wiring.</w:t>
      </w:r>
    </w:p>
    <w:p w14:paraId="337E4E7B" w14:textId="6491440D" w:rsidR="00D95725" w:rsidRPr="00DF5994" w:rsidRDefault="00D95725" w:rsidP="00D95725">
      <w:pPr>
        <w:pStyle w:val="Heading2"/>
        <w:rPr>
          <w:b/>
          <w:bCs/>
        </w:rPr>
      </w:pPr>
      <w:r w:rsidRPr="00DF5994">
        <w:rPr>
          <w:b/>
          <w:bCs/>
        </w:rPr>
        <w:t>Control Power and Protection</w:t>
      </w:r>
    </w:p>
    <w:p w14:paraId="0F95A652" w14:textId="5FC96979" w:rsidR="00D95725" w:rsidRPr="00D95725" w:rsidRDefault="00D95725" w:rsidP="00AA7189">
      <w:pPr>
        <w:pStyle w:val="11Head-Bullet"/>
      </w:pPr>
      <w:r w:rsidRPr="00AA7189">
        <w:rPr>
          <w:b/>
          <w:bCs/>
        </w:rPr>
        <w:t>Source:</w:t>
      </w:r>
      <w:r w:rsidRPr="00D95725">
        <w:t xml:space="preserve"> A dry-type Control Power Transformer (CPT) shall be provided, connected between phases B and C. The CPT shall include both primary and secondary overcurrent protection.</w:t>
      </w:r>
      <w:r w:rsidR="00F12E05">
        <w:t xml:space="preserve"> As an alternative, </w:t>
      </w:r>
      <w:r w:rsidR="00F723AC">
        <w:t xml:space="preserve">the capacitor bank </w:t>
      </w:r>
      <w:r w:rsidR="00B93BE6">
        <w:t>shall be</w:t>
      </w:r>
      <w:r w:rsidR="00F723AC">
        <w:t xml:space="preserve"> designed to accept A</w:t>
      </w:r>
      <w:r w:rsidR="00F12E05">
        <w:t>C or DC control power</w:t>
      </w:r>
      <w:r w:rsidR="00073F8D">
        <w:t xml:space="preserve"> from the customer.</w:t>
      </w:r>
      <w:r w:rsidR="00F723AC">
        <w:t xml:space="preserve"> </w:t>
      </w:r>
    </w:p>
    <w:p w14:paraId="7B1A3EE6" w14:textId="77777777" w:rsidR="00D95725" w:rsidRPr="00D95725" w:rsidRDefault="00D95725" w:rsidP="00AA7189">
      <w:pPr>
        <w:pStyle w:val="11Head-Bullet"/>
      </w:pPr>
      <w:r w:rsidRPr="00F12E05">
        <w:rPr>
          <w:b/>
          <w:bCs/>
        </w:rPr>
        <w:t>Circuit Protection:</w:t>
      </w:r>
      <w:r w:rsidRPr="00D95725">
        <w:t xml:space="preserve"> The complete control circuit shall be protected by a main circuit breaker. UL-rated control power circuit breakers shall be utilized for protection and switching of key control components.</w:t>
      </w:r>
    </w:p>
    <w:p w14:paraId="38EBF6B7" w14:textId="77777777" w:rsidR="00D95725" w:rsidRPr="00D95725" w:rsidRDefault="00D95725" w:rsidP="00AA7189">
      <w:pPr>
        <w:pStyle w:val="11Head-Bullet"/>
      </w:pPr>
      <w:r w:rsidRPr="00F12E05">
        <w:rPr>
          <w:b/>
          <w:bCs/>
        </w:rPr>
        <w:t>Compliance:</w:t>
      </w:r>
      <w:r w:rsidRPr="00D95725">
        <w:t xml:space="preserve"> The control system assembly shall be listed unde</w:t>
      </w:r>
      <w:r w:rsidRPr="00DF5994">
        <w:t>r UL 508A for Industrial</w:t>
      </w:r>
      <w:r w:rsidRPr="00D95725">
        <w:t xml:space="preserve"> Control Panels.</w:t>
      </w:r>
    </w:p>
    <w:p w14:paraId="4F649961" w14:textId="1BE441BC" w:rsidR="00D95725" w:rsidRPr="00D95725" w:rsidRDefault="00D95725" w:rsidP="00D95725">
      <w:pPr>
        <w:pStyle w:val="Heading2"/>
      </w:pPr>
      <w:r w:rsidRPr="00DF5994">
        <w:rPr>
          <w:b/>
          <w:bCs/>
        </w:rPr>
        <w:t>Automation and Switching Logic</w:t>
      </w:r>
    </w:p>
    <w:p w14:paraId="615D0257" w14:textId="4B3C5323" w:rsidR="00D95725" w:rsidRPr="00D95725" w:rsidRDefault="00D95725" w:rsidP="00510113">
      <w:pPr>
        <w:pStyle w:val="11Head-Bullet"/>
        <w:numPr>
          <w:ilvl w:val="0"/>
          <w:numId w:val="11"/>
        </w:numPr>
      </w:pPr>
      <w:r w:rsidRPr="00D95725">
        <w:rPr>
          <w:b/>
          <w:bCs/>
        </w:rPr>
        <w:t>Power Factor Controller:</w:t>
      </w:r>
      <w:r w:rsidRPr="00D95725">
        <w:t xml:space="preserve"> The bank shall include a digital </w:t>
      </w:r>
      <w:r w:rsidR="00DF5994">
        <w:t xml:space="preserve">power factor </w:t>
      </w:r>
      <w:r w:rsidRPr="00D95725">
        <w:t>controller capable of automatically switching equal or unequal stages to regulate facility power factor to a preset value.</w:t>
      </w:r>
    </w:p>
    <w:p w14:paraId="482FB738" w14:textId="77777777" w:rsidR="00D95725" w:rsidRPr="00D95725" w:rsidRDefault="00D95725" w:rsidP="00510113">
      <w:pPr>
        <w:pStyle w:val="11Head-Bullet"/>
        <w:numPr>
          <w:ilvl w:val="0"/>
          <w:numId w:val="11"/>
        </w:numPr>
      </w:pPr>
      <w:r w:rsidRPr="00D95725">
        <w:rPr>
          <w:b/>
          <w:bCs/>
        </w:rPr>
        <w:t>Intelligent Monitoring:</w:t>
      </w:r>
      <w:r w:rsidRPr="00D95725">
        <w:t xml:space="preserve"> The controller shall monitor individual stages for loss in kvar and continue to regulate if a defective stage is detected.</w:t>
      </w:r>
    </w:p>
    <w:p w14:paraId="6994C398" w14:textId="77777777" w:rsidR="00D95725" w:rsidRPr="00D95725" w:rsidRDefault="00D95725" w:rsidP="00510113">
      <w:pPr>
        <w:pStyle w:val="11Head-Bullet"/>
        <w:numPr>
          <w:ilvl w:val="0"/>
          <w:numId w:val="11"/>
        </w:numPr>
      </w:pPr>
      <w:r w:rsidRPr="00D95725">
        <w:rPr>
          <w:b/>
          <w:bCs/>
        </w:rPr>
        <w:t>Data Display:</w:t>
      </w:r>
      <w:r w:rsidRPr="00D95725">
        <w:t xml:space="preserve"> The interface shall display power </w:t>
      </w:r>
      <w:proofErr w:type="gramStart"/>
      <w:r w:rsidRPr="00D95725">
        <w:t>factor</w:t>
      </w:r>
      <w:proofErr w:type="gramEnd"/>
      <w:r w:rsidRPr="00D95725">
        <w:t>, switching counters, duty cycles, network data (I, U, S, P, Q), alarm logs, step status, and harmonic spectrums (Voltage/Current THD up to the 50th harmonic).</w:t>
      </w:r>
    </w:p>
    <w:p w14:paraId="0B209FC6" w14:textId="77777777" w:rsidR="00D95725" w:rsidRPr="00D95725" w:rsidRDefault="00D95725" w:rsidP="00510113">
      <w:pPr>
        <w:pStyle w:val="11Head-Bullet"/>
        <w:numPr>
          <w:ilvl w:val="0"/>
          <w:numId w:val="11"/>
        </w:numPr>
      </w:pPr>
      <w:r w:rsidRPr="00D95725">
        <w:rPr>
          <w:b/>
          <w:bCs/>
        </w:rPr>
        <w:lastRenderedPageBreak/>
        <w:t>Alarming:</w:t>
      </w:r>
      <w:r w:rsidRPr="00D95725">
        <w:t xml:space="preserve"> System alarms shall include low power </w:t>
      </w:r>
      <w:proofErr w:type="gramStart"/>
      <w:r w:rsidRPr="00D95725">
        <w:t>factor</w:t>
      </w:r>
      <w:proofErr w:type="gramEnd"/>
      <w:r w:rsidRPr="00D95725">
        <w:t>, hunting, abnormal PF, low voltage, overcompensation, wrong frequency, overcurrent, overvoltage, over-temperature, and capacitor overload.</w:t>
      </w:r>
    </w:p>
    <w:p w14:paraId="7D9E2493" w14:textId="74978B1A" w:rsidR="00D95725" w:rsidRPr="00D95725" w:rsidRDefault="00D95725" w:rsidP="00D95725">
      <w:pPr>
        <w:pStyle w:val="Heading2"/>
      </w:pPr>
      <w:r w:rsidRPr="00833635">
        <w:rPr>
          <w:b/>
          <w:bCs/>
        </w:rPr>
        <w:t>Stage Interface and Arc Flash Safety</w:t>
      </w:r>
    </w:p>
    <w:p w14:paraId="36EE1DB4" w14:textId="77777777" w:rsidR="00D95725" w:rsidRPr="00D95725" w:rsidRDefault="00D95725" w:rsidP="00510113">
      <w:pPr>
        <w:pStyle w:val="11Head-Bullet"/>
        <w:numPr>
          <w:ilvl w:val="0"/>
          <w:numId w:val="12"/>
        </w:numPr>
      </w:pPr>
      <w:r w:rsidRPr="00D95725">
        <w:rPr>
          <w:b/>
          <w:bCs/>
        </w:rPr>
        <w:t>Standard Interface:</w:t>
      </w:r>
      <w:r w:rsidRPr="00D95725">
        <w:t xml:space="preserve"> Each stage shall be equipped with an ON/OFF/AUTO selector switch and visual indicators for Stage ON (Green) and Stage OFF (Red).</w:t>
      </w:r>
    </w:p>
    <w:p w14:paraId="67F6576F" w14:textId="4F4E4925" w:rsidR="00D95725" w:rsidRPr="00D95725" w:rsidRDefault="00D95725" w:rsidP="00510113">
      <w:pPr>
        <w:pStyle w:val="11Head-Bullet"/>
        <w:numPr>
          <w:ilvl w:val="0"/>
          <w:numId w:val="12"/>
        </w:numPr>
      </w:pPr>
      <w:r w:rsidRPr="00D95725">
        <w:rPr>
          <w:b/>
          <w:bCs/>
        </w:rPr>
        <w:t>Switching Delays:</w:t>
      </w:r>
      <w:r w:rsidRPr="00D95725">
        <w:t xml:space="preserve"> An interposing on-delay relay shall prevent the energization of any stage in less than 5 minutes to allow for capacitor discharge. This delay must be enforced when switching from "Manual" to "Auto" modes.</w:t>
      </w:r>
    </w:p>
    <w:p w14:paraId="70851D61" w14:textId="77777777" w:rsidR="00D95725" w:rsidRDefault="00D95725" w:rsidP="00510113">
      <w:pPr>
        <w:pStyle w:val="11Head-Bullet"/>
        <w:numPr>
          <w:ilvl w:val="1"/>
          <w:numId w:val="12"/>
        </w:numPr>
      </w:pPr>
      <w:r w:rsidRPr="00D95725">
        <w:rPr>
          <w:b/>
          <w:bCs/>
        </w:rPr>
        <w:t>Safety Delay:</w:t>
      </w:r>
      <w:r w:rsidRPr="00D95725">
        <w:t xml:space="preserve"> For Arc Flash Hazard Mitigation, a 10-second delay shall be implemented before any manual switching operation to allow personnel to move outside the arc flash boundary.</w:t>
      </w:r>
    </w:p>
    <w:p w14:paraId="3DC50D32" w14:textId="4D4546C2" w:rsidR="00D95725" w:rsidRPr="00D95725" w:rsidRDefault="00D95725" w:rsidP="00D95725">
      <w:pPr>
        <w:pStyle w:val="Heading2"/>
      </w:pPr>
      <w:r w:rsidRPr="00E244FF">
        <w:rPr>
          <w:b/>
          <w:bCs/>
        </w:rPr>
        <w:t>Arc Flash Hazard Mitigation (Optional)</w:t>
      </w:r>
    </w:p>
    <w:p w14:paraId="4B9813DA" w14:textId="77777777" w:rsidR="00D95725" w:rsidRPr="00D95725" w:rsidRDefault="00D95725" w:rsidP="00510113">
      <w:pPr>
        <w:pStyle w:val="11Head-Bullet"/>
        <w:numPr>
          <w:ilvl w:val="0"/>
          <w:numId w:val="13"/>
        </w:numPr>
      </w:pPr>
      <w:r w:rsidRPr="00D95725">
        <w:rPr>
          <w:b/>
          <w:bCs/>
        </w:rPr>
        <w:t>Remote Mounting:</w:t>
      </w:r>
      <w:r w:rsidRPr="00D95725">
        <w:t xml:space="preserve"> The control and protection system may be remotely mounted in a NEMA 1 indoor enclosure. Interconnections shall be facilitated through a marshalling cabinet within the main equipment enclosure.</w:t>
      </w:r>
    </w:p>
    <w:p w14:paraId="243E601F" w14:textId="526B59A6" w:rsidR="00D95725" w:rsidRPr="00D95725" w:rsidRDefault="00D95725" w:rsidP="00510113">
      <w:pPr>
        <w:pStyle w:val="11Head-Bullet"/>
        <w:numPr>
          <w:ilvl w:val="0"/>
          <w:numId w:val="13"/>
        </w:numPr>
      </w:pPr>
      <w:r w:rsidRPr="00D95725">
        <w:rPr>
          <w:b/>
          <w:bCs/>
        </w:rPr>
        <w:t>Active Protection (ABB UFES):</w:t>
      </w:r>
      <w:r w:rsidRPr="00D95725">
        <w:t xml:space="preserve"> The </w:t>
      </w:r>
      <w:r w:rsidR="00AF77CE">
        <w:t>capacitor</w:t>
      </w:r>
      <w:r w:rsidR="00E244FF">
        <w:t xml:space="preserve"> </w:t>
      </w:r>
      <w:r w:rsidRPr="00D95725">
        <w:t xml:space="preserve">bank may be equipped with an </w:t>
      </w:r>
      <w:r w:rsidRPr="00C90329">
        <w:t>ABB Ultra-Fast Earthing Switch (UFES) for active arc fault protection. The system shall include electronic detection, primary switching elements, and arc sensors, with a transfer trip wired t</w:t>
      </w:r>
      <w:r w:rsidRPr="00D95725">
        <w:t>o the upstream breaker.</w:t>
      </w:r>
    </w:p>
    <w:p w14:paraId="2A954054" w14:textId="06DF24A3" w:rsidR="00D95725" w:rsidRPr="00D95725" w:rsidRDefault="00D95725" w:rsidP="00510113">
      <w:pPr>
        <w:pStyle w:val="11Head-Bullet"/>
        <w:numPr>
          <w:ilvl w:val="0"/>
          <w:numId w:val="13"/>
        </w:numPr>
      </w:pPr>
      <w:r w:rsidRPr="00D95725">
        <w:rPr>
          <w:b/>
          <w:bCs/>
        </w:rPr>
        <w:t>Optical Detection:</w:t>
      </w:r>
      <w:r w:rsidRPr="00D95725">
        <w:t xml:space="preserve"> An arc flash detection relay </w:t>
      </w:r>
      <w:r w:rsidR="006F2EEC">
        <w:t>(SEL751A)</w:t>
      </w:r>
      <w:r w:rsidR="00F11F61">
        <w:t xml:space="preserve"> </w:t>
      </w:r>
      <w:r w:rsidRPr="00D95725">
        <w:t>with high-speed optical sensors shall be installed to provide high-speed tripping of the feeder</w:t>
      </w:r>
      <w:r w:rsidR="0018446B">
        <w:t xml:space="preserve"> or main</w:t>
      </w:r>
      <w:r w:rsidRPr="00D95725">
        <w:t xml:space="preserve"> breaker</w:t>
      </w:r>
      <w:r w:rsidR="0018446B">
        <w:t xml:space="preserve"> (if provided)</w:t>
      </w:r>
      <w:r w:rsidRPr="00D95725">
        <w:t>.</w:t>
      </w:r>
    </w:p>
    <w:p w14:paraId="3AD18F89" w14:textId="398D319F" w:rsidR="00D95725" w:rsidRPr="00D95725" w:rsidRDefault="00D95725" w:rsidP="00D95725">
      <w:pPr>
        <w:pStyle w:val="Heading2"/>
      </w:pPr>
      <w:r w:rsidRPr="00F11F61">
        <w:rPr>
          <w:b/>
          <w:bCs/>
        </w:rPr>
        <w:t>Advanced Metering and Protection (Optional)</w:t>
      </w:r>
    </w:p>
    <w:p w14:paraId="147C5D61" w14:textId="77777777" w:rsidR="00D95725" w:rsidRPr="00D95725" w:rsidRDefault="00D95725" w:rsidP="00510113">
      <w:pPr>
        <w:pStyle w:val="11Head-Bullet"/>
        <w:numPr>
          <w:ilvl w:val="0"/>
          <w:numId w:val="14"/>
        </w:numPr>
      </w:pPr>
      <w:r w:rsidRPr="00D95725">
        <w:rPr>
          <w:b/>
          <w:bCs/>
        </w:rPr>
        <w:t>Power Quality Metering:</w:t>
      </w:r>
      <w:r w:rsidRPr="00D95725">
        <w:t xml:space="preserve"> When specified, a three-phase digital power meter shall be provided. If the meter is utilized for protection functions, an SEL-735 Power Quality Meter shall be used.</w:t>
      </w:r>
    </w:p>
    <w:p w14:paraId="02170737" w14:textId="199B613E" w:rsidR="00D95725" w:rsidRPr="00D95725" w:rsidRDefault="00D95725" w:rsidP="00510113">
      <w:pPr>
        <w:pStyle w:val="11Head-Bullet"/>
        <w:numPr>
          <w:ilvl w:val="0"/>
          <w:numId w:val="14"/>
        </w:numPr>
      </w:pPr>
      <w:r w:rsidRPr="00D95725">
        <w:rPr>
          <w:b/>
          <w:bCs/>
        </w:rPr>
        <w:t>Monitoring Parameters:</w:t>
      </w:r>
      <w:r w:rsidRPr="00D95725">
        <w:t xml:space="preserve"> The meter </w:t>
      </w:r>
      <w:proofErr w:type="gramStart"/>
      <w:r w:rsidRPr="00D95725">
        <w:t>shall</w:t>
      </w:r>
      <w:proofErr w:type="gramEnd"/>
      <w:r w:rsidRPr="00D95725">
        <w:t xml:space="preserve"> monitor voltage, current, real/apparent/reactive power, power factor, </w:t>
      </w:r>
      <w:proofErr w:type="gramStart"/>
      <w:r w:rsidRPr="00D95725">
        <w:t>unbalance</w:t>
      </w:r>
      <w:proofErr w:type="gramEnd"/>
      <w:r w:rsidRPr="00D95725">
        <w:t>, frequency, and energy accumulation</w:t>
      </w:r>
      <w:r w:rsidR="00B1654E">
        <w:t xml:space="preserve"> and all harmonic voltage and currents to the 50</w:t>
      </w:r>
      <w:r w:rsidR="00B1654E" w:rsidRPr="00B1654E">
        <w:rPr>
          <w:vertAlign w:val="superscript"/>
        </w:rPr>
        <w:t>th</w:t>
      </w:r>
      <w:r w:rsidR="00B1654E">
        <w:t xml:space="preserve"> harmonic.</w:t>
      </w:r>
    </w:p>
    <w:p w14:paraId="487C8C91" w14:textId="77777777" w:rsidR="00D95725" w:rsidRDefault="00D95725" w:rsidP="00510113">
      <w:pPr>
        <w:pStyle w:val="11Head-Bullet"/>
        <w:numPr>
          <w:ilvl w:val="0"/>
          <w:numId w:val="14"/>
        </w:numPr>
      </w:pPr>
      <w:r w:rsidRPr="00D95725">
        <w:rPr>
          <w:b/>
          <w:bCs/>
        </w:rPr>
        <w:t>System Protection:</w:t>
      </w:r>
      <w:r w:rsidRPr="00D95725">
        <w:t xml:space="preserve"> The bank shall be equipped with a three-phase over-voltage relay (protecting both capacitors and system equipment) with dual setpoints for alarm and trip functions.</w:t>
      </w:r>
    </w:p>
    <w:p w14:paraId="19D8C712" w14:textId="77777777" w:rsidR="004D1410" w:rsidRPr="00D95725" w:rsidRDefault="004D1410" w:rsidP="004D1410">
      <w:pPr>
        <w:pStyle w:val="11Head-Bullet"/>
        <w:numPr>
          <w:ilvl w:val="0"/>
          <w:numId w:val="0"/>
        </w:numPr>
        <w:ind w:left="720"/>
      </w:pPr>
    </w:p>
    <w:p w14:paraId="6D296A5F" w14:textId="1E87A40A" w:rsidR="00D95725" w:rsidRPr="00D95725" w:rsidRDefault="00D95725" w:rsidP="00D95725">
      <w:pPr>
        <w:pStyle w:val="Heading2"/>
      </w:pPr>
      <w:r w:rsidRPr="00B1654E">
        <w:rPr>
          <w:b/>
          <w:bCs/>
        </w:rPr>
        <w:t>Enclosure Amenities</w:t>
      </w:r>
    </w:p>
    <w:p w14:paraId="68E2AB3B" w14:textId="77777777" w:rsidR="00D95725" w:rsidRPr="00D95725" w:rsidRDefault="00D95725" w:rsidP="00510113">
      <w:pPr>
        <w:pStyle w:val="11Head-Bullet"/>
        <w:numPr>
          <w:ilvl w:val="0"/>
          <w:numId w:val="15"/>
        </w:numPr>
      </w:pPr>
      <w:r w:rsidRPr="00D95725">
        <w:rPr>
          <w:b/>
          <w:bCs/>
        </w:rPr>
        <w:t>Lighting:</w:t>
      </w:r>
      <w:r w:rsidRPr="00D95725">
        <w:t xml:space="preserve"> Integrated lighting shall be provided for all compartments, operated by a master switch in the control compartment.</w:t>
      </w:r>
    </w:p>
    <w:p w14:paraId="5ACFE5DA" w14:textId="77777777" w:rsidR="00D95725" w:rsidRPr="00D95725" w:rsidRDefault="00D95725" w:rsidP="00510113">
      <w:pPr>
        <w:pStyle w:val="11Head-Bullet"/>
        <w:numPr>
          <w:ilvl w:val="0"/>
          <w:numId w:val="15"/>
        </w:numPr>
      </w:pPr>
      <w:r w:rsidRPr="00D95725">
        <w:rPr>
          <w:b/>
          <w:bCs/>
        </w:rPr>
        <w:t>Convenience:</w:t>
      </w:r>
      <w:r w:rsidRPr="00D95725">
        <w:t xml:space="preserve"> A 20-amp GFI duplex outlet shall be installed within the control compartment.</w:t>
      </w:r>
    </w:p>
    <w:p w14:paraId="40ECD2C0" w14:textId="7B507959" w:rsidR="00E21308" w:rsidRPr="00E21308" w:rsidRDefault="00E21308" w:rsidP="00E21308">
      <w:pPr>
        <w:pStyle w:val="Heading1"/>
      </w:pPr>
      <w:r w:rsidRPr="00E21308">
        <w:t>SUPPLIER QUALITY AND QUALIFICATIONS</w:t>
      </w:r>
    </w:p>
    <w:p w14:paraId="585DD8F4" w14:textId="1EABA1EB" w:rsidR="00E21308" w:rsidRPr="00E21308" w:rsidRDefault="00E21308" w:rsidP="00E21308">
      <w:pPr>
        <w:pStyle w:val="Heading2"/>
      </w:pPr>
      <w:r w:rsidRPr="00E21308">
        <w:rPr>
          <w:b/>
          <w:bCs/>
        </w:rPr>
        <w:t>Quality Management System</w:t>
      </w:r>
      <w:r>
        <w:rPr>
          <w:b/>
          <w:bCs/>
        </w:rPr>
        <w:br/>
      </w:r>
      <w:r w:rsidRPr="00E21308">
        <w:t xml:space="preserve">The supplier shall maintain a formal quality management system with third-party certification by an internationally recognized accreditation body </w:t>
      </w:r>
      <w:r w:rsidRPr="00C90329">
        <w:t>to ISO 9001:2015</w:t>
      </w:r>
      <w:r w:rsidRPr="00E21308">
        <w:t xml:space="preserve"> (or the latest revision). A valid copy of the ISO certification shall be submitted with the quotation.</w:t>
      </w:r>
    </w:p>
    <w:p w14:paraId="2358F43D" w14:textId="3A1B32E7" w:rsidR="00E21308" w:rsidRPr="00E21308" w:rsidRDefault="00E21308" w:rsidP="00E21308">
      <w:pPr>
        <w:pStyle w:val="Heading2"/>
      </w:pPr>
      <w:r w:rsidRPr="00E21308">
        <w:rPr>
          <w:b/>
          <w:bCs/>
        </w:rPr>
        <w:t>Product Certification and Listing</w:t>
      </w:r>
      <w:r>
        <w:rPr>
          <w:b/>
          <w:bCs/>
        </w:rPr>
        <w:br/>
      </w:r>
      <w:r w:rsidRPr="00E21308">
        <w:t>The supplier shall be authorized by a Nationally Recognized Testing Laboratory (NRTL) to apply certification labels to the equipment.</w:t>
      </w:r>
    </w:p>
    <w:p w14:paraId="269E9BB5" w14:textId="4C5E298E" w:rsidR="00E21308" w:rsidRPr="00E21308" w:rsidRDefault="00E21308" w:rsidP="00E21308">
      <w:pPr>
        <w:pStyle w:val="11Head-Bullet"/>
      </w:pPr>
      <w:r w:rsidRPr="00E21308">
        <w:rPr>
          <w:b/>
          <w:bCs/>
        </w:rPr>
        <w:lastRenderedPageBreak/>
        <w:t>Enclosure and Assembly:</w:t>
      </w:r>
      <w:r w:rsidRPr="00E21308">
        <w:t xml:space="preserve"> The </w:t>
      </w:r>
      <w:r w:rsidR="00C66FDC">
        <w:t>capacitor bank</w:t>
      </w:r>
      <w:r w:rsidRPr="00E21308">
        <w:t xml:space="preserve"> shall be compliant with IEEE C37.20.3 (Standard for Metal-Enclosed Interrupter Switchgear).</w:t>
      </w:r>
    </w:p>
    <w:p w14:paraId="2DC83689" w14:textId="59F20AB8" w:rsidR="00E21308" w:rsidRPr="00E21308" w:rsidRDefault="00E21308" w:rsidP="00E21308">
      <w:pPr>
        <w:pStyle w:val="11Head-Bullet"/>
      </w:pPr>
      <w:r w:rsidRPr="00E21308">
        <w:rPr>
          <w:b/>
          <w:bCs/>
        </w:rPr>
        <w:t>Components:</w:t>
      </w:r>
      <w:r w:rsidRPr="00E21308">
        <w:t xml:space="preserve"> The assembly shall meet the requirements of CSA C22.2 No. 190 (Capacitors) and CSA C22.2 No. 31 (Switchgear Assemblies).</w:t>
      </w:r>
    </w:p>
    <w:p w14:paraId="76CC1491" w14:textId="345F9CFB" w:rsidR="00E21308" w:rsidRPr="00E21308" w:rsidRDefault="00E21308" w:rsidP="00E21308">
      <w:pPr>
        <w:pStyle w:val="Heading2"/>
      </w:pPr>
      <w:r w:rsidRPr="00E21308">
        <w:rPr>
          <w:b/>
          <w:bCs/>
        </w:rPr>
        <w:t>Control Panel Compliance</w:t>
      </w:r>
      <w:r>
        <w:rPr>
          <w:b/>
          <w:bCs/>
        </w:rPr>
        <w:br/>
      </w:r>
      <w:r w:rsidRPr="00E21308">
        <w:t xml:space="preserve">The supplier shall maintain factory certification through periodic inspections by an NRTL (such as UL or TÜV) to apply </w:t>
      </w:r>
      <w:r w:rsidRPr="002D69DF">
        <w:t>UL 508A and C-UL</w:t>
      </w:r>
      <w:r w:rsidRPr="00E21308">
        <w:t xml:space="preserve"> labels to their industrial control panels. A copy of the current certification shall be provided with the quotation.</w:t>
      </w:r>
    </w:p>
    <w:p w14:paraId="0E3DE5B5" w14:textId="1455C2D4" w:rsidR="00E21308" w:rsidRPr="00E21308" w:rsidRDefault="00E21308" w:rsidP="00E21308">
      <w:pPr>
        <w:pStyle w:val="Heading2"/>
      </w:pPr>
      <w:r w:rsidRPr="00E21308">
        <w:rPr>
          <w:b/>
          <w:bCs/>
        </w:rPr>
        <w:t>Engineering Proficiency</w:t>
      </w:r>
      <w:r>
        <w:rPr>
          <w:b/>
          <w:bCs/>
        </w:rPr>
        <w:br/>
      </w:r>
      <w:r w:rsidRPr="00E21308">
        <w:t>To ensure technical competence in medium-voltage reactive compensation, the supplier shall maintain a staff of experienced, Licensed Professional Engineers (PE). These individuals shall hold degrees in Electrical Power Engineering, preferably with advanced degrees, as evidence of their proficiency in power system design and analysis.</w:t>
      </w:r>
    </w:p>
    <w:p w14:paraId="77A1FAEF" w14:textId="19A3BD94" w:rsidR="00E21308" w:rsidRPr="00E21308" w:rsidRDefault="00E21308" w:rsidP="00E21308">
      <w:pPr>
        <w:pStyle w:val="Heading2"/>
      </w:pPr>
      <w:r w:rsidRPr="00E21308">
        <w:rPr>
          <w:b/>
          <w:bCs/>
        </w:rPr>
        <w:t>References and Experience</w:t>
      </w:r>
      <w:r>
        <w:rPr>
          <w:b/>
          <w:bCs/>
        </w:rPr>
        <w:br/>
      </w:r>
      <w:r w:rsidRPr="00E21308">
        <w:t>The supplier shall provide a reference list of customers for whom they have provided similar medium-voltage metal-enclosed equipment. This list shall include contact information to facilitate reference checks and shall be provided at the time of quotation.</w:t>
      </w:r>
    </w:p>
    <w:p w14:paraId="1C24AD25" w14:textId="2BCD17DC" w:rsidR="00E21308" w:rsidRDefault="00E21308" w:rsidP="00E21308">
      <w:pPr>
        <w:pStyle w:val="Heading2"/>
      </w:pPr>
      <w:r w:rsidRPr="00E21308">
        <w:rPr>
          <w:b/>
          <w:bCs/>
        </w:rPr>
        <w:t>Factory Audits</w:t>
      </w:r>
      <w:r>
        <w:rPr>
          <w:b/>
          <w:bCs/>
        </w:rPr>
        <w:br/>
      </w:r>
      <w:r w:rsidRPr="00E21308">
        <w:t>The supplier shall allow the customer to perform factory audits at the manufacturing facility. Such audits shall occur at a mutually agreed-upon date and time between the customer and the supplier to verify manufacturing processes and quality control measures.</w:t>
      </w:r>
    </w:p>
    <w:p w14:paraId="61882031" w14:textId="77777777" w:rsidR="006C58FB" w:rsidRPr="006C58FB" w:rsidRDefault="006C58FB" w:rsidP="006C58FB">
      <w:pPr>
        <w:pStyle w:val="Heading1"/>
      </w:pPr>
      <w:r w:rsidRPr="006C58FB">
        <w:t>SYSTEM STUDIES AND ENGINEERING ANALYSIS</w:t>
      </w:r>
    </w:p>
    <w:p w14:paraId="0469261D" w14:textId="77777777" w:rsidR="00D409A7" w:rsidRPr="00894A23" w:rsidRDefault="00D409A7" w:rsidP="00D409A7">
      <w:pPr>
        <w:pStyle w:val="Heading2"/>
        <w:rPr>
          <w:b/>
          <w:bCs/>
        </w:rPr>
      </w:pPr>
      <w:r>
        <w:rPr>
          <w:b/>
          <w:bCs/>
        </w:rPr>
        <w:t xml:space="preserve">Required </w:t>
      </w:r>
      <w:r w:rsidRPr="00894A23">
        <w:rPr>
          <w:b/>
          <w:bCs/>
        </w:rPr>
        <w:t xml:space="preserve">Application </w:t>
      </w:r>
      <w:r>
        <w:rPr>
          <w:b/>
          <w:bCs/>
        </w:rPr>
        <w:t>Studies</w:t>
      </w:r>
      <w:r>
        <w:rPr>
          <w:b/>
          <w:bCs/>
        </w:rPr>
        <w:br/>
      </w:r>
      <w:r w:rsidRPr="0089201C">
        <w:t>The following studies shall be performed by the supplier and submitted with the project drawing submittals.</w:t>
      </w:r>
    </w:p>
    <w:p w14:paraId="50E7CACD" w14:textId="77777777" w:rsidR="00D409A7" w:rsidRPr="00CA1785" w:rsidRDefault="00D409A7" w:rsidP="00D409A7">
      <w:pPr>
        <w:pStyle w:val="Heading3"/>
        <w:rPr>
          <w:sz w:val="24"/>
          <w:szCs w:val="24"/>
        </w:rPr>
      </w:pPr>
      <w:r w:rsidRPr="003418A2">
        <w:rPr>
          <w:b/>
          <w:bCs/>
        </w:rPr>
        <w:t>Transient Analysis</w:t>
      </w:r>
      <w:r w:rsidRPr="003418A2">
        <w:rPr>
          <w:b/>
          <w:bCs/>
        </w:rPr>
        <w:br/>
      </w:r>
      <w:r w:rsidRPr="00452E57">
        <w:t>The capacitor bank supplier shall perform the following transient analyses to verify safe equipment application:</w:t>
      </w:r>
    </w:p>
    <w:p w14:paraId="675BFC82" w14:textId="77777777" w:rsidR="00D409A7" w:rsidRDefault="00D409A7" w:rsidP="00510113">
      <w:pPr>
        <w:pStyle w:val="11Head-Bullet"/>
        <w:numPr>
          <w:ilvl w:val="1"/>
          <w:numId w:val="5"/>
        </w:numPr>
      </w:pPr>
      <w:r>
        <w:rPr>
          <w:rStyle w:val="Strong"/>
        </w:rPr>
        <w:t>Peak Inrush Analysis:</w:t>
      </w:r>
      <w:r>
        <w:t xml:space="preserve"> Evaluate single-bank and back-to-back switching duty to confirm that the switching devices are adequately rated. Analysis shall be based on IEEE C37.04, IEEE C37.09, IEEE C37.012, IEEE C37.66, and IEEE 1036.</w:t>
      </w:r>
    </w:p>
    <w:p w14:paraId="4EF3069B" w14:textId="77777777" w:rsidR="00D409A7" w:rsidRDefault="00D409A7" w:rsidP="00510113">
      <w:pPr>
        <w:pStyle w:val="11Head-Bullet"/>
        <w:numPr>
          <w:ilvl w:val="1"/>
          <w:numId w:val="5"/>
        </w:numPr>
      </w:pPr>
      <w:r>
        <w:rPr>
          <w:rStyle w:val="Strong"/>
        </w:rPr>
        <w:t>Outrush and Close-In Fault Analysis:</w:t>
      </w:r>
      <w:r>
        <w:t xml:space="preserve"> Evaluate high-frequency discharge current and peak outrush duty on the designated victim breaker to confirm that breaker close-and-latch capabilities are not exceeded. Analysis shall be based on IEEE C37.012, IEEE PES-TR16, and IEEE C37.04.</w:t>
      </w:r>
    </w:p>
    <w:p w14:paraId="5C513A0E" w14:textId="77777777" w:rsidR="00D409A7" w:rsidRDefault="00D409A7" w:rsidP="00510113">
      <w:pPr>
        <w:pStyle w:val="11Head-Bullet"/>
        <w:numPr>
          <w:ilvl w:val="1"/>
          <w:numId w:val="5"/>
        </w:numPr>
      </w:pPr>
      <w:r>
        <w:rPr>
          <w:rStyle w:val="Strong"/>
        </w:rPr>
        <w:t>Reactor-Limited Fault TRV Assessment:</w:t>
      </w:r>
      <w:r>
        <w:t xml:space="preserve"> Evaluate breaker TRV duty for reactor-limited short-circuit faults to confirm that RRRV and TRV peak remain within breaker capability. Analysis shall be based on IEEE C37.011, IEEE C37.04, and IEEE C37.06.1.</w:t>
      </w:r>
    </w:p>
    <w:p w14:paraId="332D0B72" w14:textId="59BB27B7" w:rsidR="00D409A7" w:rsidRDefault="00D409A7" w:rsidP="00D409A7">
      <w:pPr>
        <w:pStyle w:val="Heading3"/>
      </w:pPr>
      <w:r w:rsidRPr="00927EE4">
        <w:rPr>
          <w:b/>
          <w:bCs/>
        </w:rPr>
        <w:t>Altitude Derating and Insulation Coordination Study</w:t>
      </w:r>
      <w:r>
        <w:br/>
      </w:r>
      <w:r w:rsidRPr="00927EE4">
        <w:t xml:space="preserve">For installations above 1000 meters, the supplier shall also perform an Altitude Derating and Insulation Coordination Study to verify that equipment dielectric performance remains acceptable at altitude through proper insulation coordination and surge arrester application. Analysis shall be based on IEEE C62.22, IEC </w:t>
      </w:r>
      <w:r w:rsidRPr="00927EE4">
        <w:lastRenderedPageBreak/>
        <w:t>60071-1, IEC 60071-2, IEEE C37.010, IEEE C37.20.2, IEEE C37.20.3, IEC TR 62271-306, and IEC 60694 / IEC 60871-1.</w:t>
      </w:r>
    </w:p>
    <w:p w14:paraId="621CDE84" w14:textId="77777777" w:rsidR="00D409A7" w:rsidRPr="005319F9" w:rsidRDefault="00D409A7" w:rsidP="00D409A7">
      <w:pPr>
        <w:pStyle w:val="Heading3"/>
        <w:rPr>
          <w:b/>
          <w:bCs/>
        </w:rPr>
      </w:pPr>
      <w:r w:rsidRPr="005319F9">
        <w:rPr>
          <w:b/>
          <w:bCs/>
        </w:rPr>
        <w:t>Harmonic Resonance and System Interaction</w:t>
      </w:r>
    </w:p>
    <w:p w14:paraId="08916072" w14:textId="77777777" w:rsidR="00D409A7" w:rsidRDefault="00D409A7" w:rsidP="00510113">
      <w:pPr>
        <w:pStyle w:val="11Head-Bullet"/>
        <w:numPr>
          <w:ilvl w:val="1"/>
          <w:numId w:val="5"/>
        </w:numPr>
      </w:pPr>
      <w:r w:rsidRPr="001751E5">
        <w:rPr>
          <w:b/>
          <w:bCs/>
        </w:rPr>
        <w:t>Resonance Analysis:</w:t>
      </w:r>
      <w:r w:rsidRPr="001751E5">
        <w:t xml:space="preserve"> The vendor shall perform a resonance analysis to identify any resonant conditions that may occur with the application of the capacitor bank under all operating conditions. Data required for this analysis will be provided after issuance of the purchase order. The results of the analysis shall be submitted in a letter report, together with recommendations for any required equipment modifications.</w:t>
      </w:r>
    </w:p>
    <w:p w14:paraId="4C2DBDDF" w14:textId="77777777" w:rsidR="00D409A7" w:rsidRPr="00143362" w:rsidRDefault="00D409A7" w:rsidP="00510113">
      <w:pPr>
        <w:pStyle w:val="11Head-Bullet"/>
        <w:numPr>
          <w:ilvl w:val="1"/>
          <w:numId w:val="5"/>
        </w:numPr>
      </w:pPr>
      <w:r w:rsidRPr="00552EDB">
        <w:rPr>
          <w:b/>
          <w:bCs/>
        </w:rPr>
        <w:t>Modeling</w:t>
      </w:r>
      <w:r w:rsidRPr="00143362">
        <w:rPr>
          <w:b/>
          <w:bCs/>
        </w:rPr>
        <w:t xml:space="preserve"> Scope:</w:t>
      </w:r>
      <w:r w:rsidRPr="00143362">
        <w:t xml:space="preserve"> Analysis must account for varying system short-circuit levels and the presence of any existing harmonic-producing loads or nearby reactive compensation.</w:t>
      </w:r>
      <w:r>
        <w:t xml:space="preserve"> </w:t>
      </w:r>
    </w:p>
    <w:p w14:paraId="11D9E04B" w14:textId="77777777" w:rsidR="00D409A7" w:rsidRPr="008F5892" w:rsidRDefault="00D409A7" w:rsidP="00D409A7">
      <w:pPr>
        <w:pStyle w:val="Heading3"/>
        <w:rPr>
          <w:b/>
          <w:bCs/>
        </w:rPr>
      </w:pPr>
      <w:r w:rsidRPr="008F5892">
        <w:rPr>
          <w:b/>
          <w:bCs/>
        </w:rPr>
        <w:t>Voltage Rise and Regulation</w:t>
      </w:r>
    </w:p>
    <w:p w14:paraId="6E7E4D46" w14:textId="77777777" w:rsidR="00D409A7" w:rsidRPr="008F5892" w:rsidRDefault="00D409A7" w:rsidP="00510113">
      <w:pPr>
        <w:pStyle w:val="11Head-Bullet"/>
        <w:numPr>
          <w:ilvl w:val="1"/>
          <w:numId w:val="5"/>
        </w:numPr>
      </w:pPr>
      <w:r w:rsidRPr="00552EDB">
        <w:rPr>
          <w:b/>
          <w:bCs/>
        </w:rPr>
        <w:t>Steady-State Voltage:</w:t>
      </w:r>
      <w:r w:rsidRPr="008F5892">
        <w:t xml:space="preserve"> The manufacturer shall provide calculations demonstrating the expected steady-state voltage rise at the bank terminals upon energization of each stage.</w:t>
      </w:r>
    </w:p>
    <w:p w14:paraId="7E6760D3" w14:textId="77777777" w:rsidR="00D409A7" w:rsidRPr="00143362" w:rsidRDefault="00D409A7" w:rsidP="00510113">
      <w:pPr>
        <w:pStyle w:val="11Head-Bullet"/>
        <w:numPr>
          <w:ilvl w:val="1"/>
          <w:numId w:val="5"/>
        </w:numPr>
      </w:pPr>
      <w:r w:rsidRPr="00552EDB">
        <w:rPr>
          <w:b/>
          <w:bCs/>
        </w:rPr>
        <w:t>Compliance:</w:t>
      </w:r>
      <w:r w:rsidRPr="008F5892">
        <w:t xml:space="preserve"> The design shall ensure that the voltage rise does not exceed [2% / 3%] or the specific limits of the host</w:t>
      </w:r>
      <w:r w:rsidRPr="00143362">
        <w:t xml:space="preserve"> utility to prevent over-voltage</w:t>
      </w:r>
      <w:r>
        <w:t>s.</w:t>
      </w:r>
    </w:p>
    <w:p w14:paraId="5EFA7C28" w14:textId="77777777" w:rsidR="00D409A7" w:rsidRPr="00623502" w:rsidRDefault="00D409A7" w:rsidP="00D409A7">
      <w:pPr>
        <w:pStyle w:val="Heading3"/>
        <w:rPr>
          <w:b/>
          <w:bCs/>
        </w:rPr>
      </w:pPr>
      <w:r w:rsidRPr="00623502">
        <w:rPr>
          <w:b/>
          <w:bCs/>
        </w:rPr>
        <w:t>Engineering Proficiency</w:t>
      </w:r>
    </w:p>
    <w:p w14:paraId="4A79EDF6" w14:textId="77777777" w:rsidR="00D409A7" w:rsidRPr="00143362" w:rsidRDefault="00D409A7" w:rsidP="00510113">
      <w:pPr>
        <w:pStyle w:val="11Head-Bullet"/>
        <w:numPr>
          <w:ilvl w:val="1"/>
          <w:numId w:val="5"/>
        </w:numPr>
      </w:pPr>
      <w:r w:rsidRPr="00623502">
        <w:rPr>
          <w:b/>
          <w:bCs/>
        </w:rPr>
        <w:t>Single-Point Responsibility:</w:t>
      </w:r>
      <w:r w:rsidRPr="00143362">
        <w:t xml:space="preserve"> All system modeling, resonance checks, and power factor calculations shall be performed by the manufacturer's internal engineering staff.</w:t>
      </w:r>
    </w:p>
    <w:p w14:paraId="42AAD1A1" w14:textId="77777777" w:rsidR="00D409A7" w:rsidRPr="00143362" w:rsidRDefault="00D409A7" w:rsidP="00510113">
      <w:pPr>
        <w:pStyle w:val="11Head-Bullet"/>
        <w:numPr>
          <w:ilvl w:val="1"/>
          <w:numId w:val="5"/>
        </w:numPr>
      </w:pPr>
      <w:r w:rsidRPr="00623502">
        <w:rPr>
          <w:b/>
          <w:bCs/>
        </w:rPr>
        <w:t>Third-Party Restriction:</w:t>
      </w:r>
      <w:r w:rsidRPr="00143362">
        <w:t xml:space="preserve"> Sub-contracting of the system engineering or performance validation to third-party consultants is strictly prohibited to ensure single-point accountability.</w:t>
      </w:r>
    </w:p>
    <w:p w14:paraId="62CB0333" w14:textId="15AC414C" w:rsidR="006C58FB" w:rsidRPr="006C58FB" w:rsidRDefault="006C58FB" w:rsidP="001E1D26">
      <w:pPr>
        <w:pStyle w:val="Heading2"/>
      </w:pPr>
      <w:r w:rsidRPr="006C58FB">
        <w:rPr>
          <w:b/>
          <w:bCs/>
        </w:rPr>
        <w:t>Protection Coordination Study</w:t>
      </w:r>
      <w:r>
        <w:rPr>
          <w:b/>
          <w:bCs/>
        </w:rPr>
        <w:br/>
      </w:r>
      <w:r w:rsidRPr="006C58FB">
        <w:t>A formal Time-Current Coordination (TCC) study shall be provided to ensure selective coordination between internal and external protective devices.</w:t>
      </w:r>
    </w:p>
    <w:p w14:paraId="21469BAA" w14:textId="77777777" w:rsidR="006C58FB" w:rsidRDefault="006C58FB" w:rsidP="006C58FB">
      <w:pPr>
        <w:pStyle w:val="11Head-Bullet"/>
      </w:pPr>
      <w:r w:rsidRPr="006C58FB">
        <w:rPr>
          <w:b/>
          <w:bCs/>
        </w:rPr>
        <w:t>Fuse-to-Fuse Coordination:</w:t>
      </w:r>
      <w:r w:rsidRPr="006C58FB">
        <w:t xml:space="preserve"> The study shall demonstrate proper coordination between capacitor branch fuses and main incoming fuses.</w:t>
      </w:r>
    </w:p>
    <w:p w14:paraId="3170E823" w14:textId="649A37E9" w:rsidR="006D551E" w:rsidRPr="006C58FB" w:rsidRDefault="006D551E" w:rsidP="006C58FB">
      <w:pPr>
        <w:pStyle w:val="11Head-Bullet"/>
      </w:pPr>
      <w:r>
        <w:rPr>
          <w:b/>
          <w:bCs/>
        </w:rPr>
        <w:t>Case Rupture Coordination:</w:t>
      </w:r>
      <w:r>
        <w:t xml:space="preserve"> The study shall demonstrate proper </w:t>
      </w:r>
      <w:r w:rsidR="00365DAA">
        <w:t>fuse selection to prevent case rupture.</w:t>
      </w:r>
    </w:p>
    <w:p w14:paraId="2CCE94F6" w14:textId="77777777" w:rsidR="006C58FB" w:rsidRPr="006C58FB" w:rsidRDefault="006C58FB" w:rsidP="006C58FB">
      <w:pPr>
        <w:pStyle w:val="11Head-Bullet"/>
      </w:pPr>
      <w:r w:rsidRPr="006C58FB">
        <w:rPr>
          <w:b/>
          <w:bCs/>
        </w:rPr>
        <w:t>Upstream Integration:</w:t>
      </w:r>
      <w:r w:rsidRPr="006C58FB">
        <w:t xml:space="preserve"> All internal protection (including unbalance, overcurrent, and harmonic overload) shall be coordinated with the upstream feeder </w:t>
      </w:r>
      <w:proofErr w:type="gramStart"/>
      <w:r w:rsidRPr="006C58FB">
        <w:t>breaker</w:t>
      </w:r>
      <w:proofErr w:type="gramEnd"/>
      <w:r w:rsidRPr="006C58FB">
        <w:t xml:space="preserve"> settings and the capacitor case rupture curves.</w:t>
      </w:r>
    </w:p>
    <w:p w14:paraId="1B33B92B" w14:textId="481F6D1F" w:rsidR="00E21308" w:rsidRPr="00E21308" w:rsidRDefault="00E21308" w:rsidP="00E21308">
      <w:pPr>
        <w:pStyle w:val="Heading1"/>
      </w:pPr>
      <w:r w:rsidRPr="00E21308">
        <w:t>SUBMITTALS AND DOCUMENTATION</w:t>
      </w:r>
    </w:p>
    <w:p w14:paraId="2A537838" w14:textId="6035FDE2" w:rsidR="00E21308" w:rsidRPr="00E21308" w:rsidRDefault="00E21308" w:rsidP="00E21308">
      <w:pPr>
        <w:pStyle w:val="Heading2"/>
      </w:pPr>
      <w:r w:rsidRPr="00E21308">
        <w:rPr>
          <w:b/>
          <w:bCs/>
        </w:rPr>
        <w:t>Approval Drawing Package</w:t>
      </w:r>
      <w:r>
        <w:rPr>
          <w:b/>
          <w:bCs/>
        </w:rPr>
        <w:br/>
      </w:r>
      <w:r w:rsidRPr="00E21308">
        <w:t xml:space="preserve">Following the issuance of a purchase order, the supplier shall submit </w:t>
      </w:r>
      <w:r>
        <w:t xml:space="preserve">a </w:t>
      </w:r>
      <w:r w:rsidRPr="00E21308">
        <w:t>complete set of approval drawings for review. Fabrication shall not commence until the customer has provided written approval of the submittal package.</w:t>
      </w:r>
    </w:p>
    <w:p w14:paraId="5F37CEC3" w14:textId="6075BB6E" w:rsidR="00E21308" w:rsidRPr="00E21308" w:rsidRDefault="00E21308" w:rsidP="00E21308">
      <w:pPr>
        <w:pStyle w:val="Heading2"/>
      </w:pPr>
      <w:r w:rsidRPr="00E21308">
        <w:rPr>
          <w:b/>
          <w:bCs/>
        </w:rPr>
        <w:t>Submittal Content</w:t>
      </w:r>
      <w:r>
        <w:rPr>
          <w:b/>
          <w:bCs/>
        </w:rPr>
        <w:br/>
      </w:r>
      <w:r w:rsidRPr="00E21308">
        <w:t>The submittal package shall be comprehensive and include, at a minimum, the following technical documentation:</w:t>
      </w:r>
    </w:p>
    <w:p w14:paraId="7B04078C" w14:textId="77777777" w:rsidR="00E21308" w:rsidRPr="00E21308" w:rsidRDefault="00E21308" w:rsidP="00E21308">
      <w:pPr>
        <w:pStyle w:val="11Head-Bullet"/>
      </w:pPr>
      <w:r w:rsidRPr="00E21308">
        <w:rPr>
          <w:b/>
          <w:bCs/>
        </w:rPr>
        <w:t>Installation Instructions:</w:t>
      </w:r>
      <w:r w:rsidRPr="00E21308">
        <w:t xml:space="preserve"> Detailed procedures for site handling, leveling, and assembly.</w:t>
      </w:r>
    </w:p>
    <w:p w14:paraId="64A27799" w14:textId="77777777" w:rsidR="00E21308" w:rsidRPr="00E21308" w:rsidRDefault="00E21308" w:rsidP="00E21308">
      <w:pPr>
        <w:pStyle w:val="11Head-Bullet"/>
      </w:pPr>
      <w:r w:rsidRPr="00E21308">
        <w:rPr>
          <w:b/>
          <w:bCs/>
        </w:rPr>
        <w:t>Schematic Diagrams:</w:t>
      </w:r>
      <w:r w:rsidRPr="00E21308">
        <w:t xml:space="preserve"> Complete Single-Line and Three-Line diagrams illustrating the primary power circuit, switching logic, and protection schemes.</w:t>
      </w:r>
    </w:p>
    <w:p w14:paraId="47D31E98" w14:textId="77777777" w:rsidR="00E21308" w:rsidRPr="00E21308" w:rsidRDefault="00E21308" w:rsidP="00E21308">
      <w:pPr>
        <w:pStyle w:val="11Head-Bullet"/>
      </w:pPr>
      <w:r w:rsidRPr="00E21308">
        <w:rPr>
          <w:b/>
          <w:bCs/>
        </w:rPr>
        <w:t>Plan View and Section Drawings:</w:t>
      </w:r>
      <w:r w:rsidRPr="00E21308">
        <w:t xml:space="preserve"> Detailed drawings showing the enclosure footprint, anchoring requirements (pad details), and specific locations for top or bottom cable entry.</w:t>
      </w:r>
    </w:p>
    <w:p w14:paraId="09498A49" w14:textId="55C9EB57" w:rsidR="00E21308" w:rsidRPr="00E21308" w:rsidRDefault="00E21308" w:rsidP="00E21308">
      <w:pPr>
        <w:pStyle w:val="11Head-Bullet"/>
      </w:pPr>
      <w:r w:rsidRPr="00E21308">
        <w:rPr>
          <w:b/>
          <w:bCs/>
        </w:rPr>
        <w:lastRenderedPageBreak/>
        <w:t>Component Layout:</w:t>
      </w:r>
      <w:r w:rsidRPr="00E21308">
        <w:t xml:space="preserve"> Internal elevation drawings identifying the physical arrangement and clearances for all major components, including </w:t>
      </w:r>
      <w:r w:rsidR="00E62B8A">
        <w:t xml:space="preserve">transient inrush </w:t>
      </w:r>
      <w:r w:rsidRPr="00E21308">
        <w:t>reactors, switches, fuses,</w:t>
      </w:r>
      <w:r w:rsidR="00601B1D">
        <w:t xml:space="preserve"> capacitors</w:t>
      </w:r>
      <w:r w:rsidR="00671444">
        <w:t>, breakers,</w:t>
      </w:r>
      <w:r w:rsidRPr="00E21308">
        <w:t xml:space="preserve"> and </w:t>
      </w:r>
      <w:r w:rsidR="00671444">
        <w:t xml:space="preserve">all </w:t>
      </w:r>
      <w:r w:rsidRPr="00E21308">
        <w:t>control</w:t>
      </w:r>
      <w:r w:rsidR="00671444">
        <w:t>s</w:t>
      </w:r>
      <w:r w:rsidRPr="00E21308">
        <w:t>.</w:t>
      </w:r>
    </w:p>
    <w:p w14:paraId="654AB68F" w14:textId="60B26322" w:rsidR="00E21308" w:rsidRPr="00E21308" w:rsidRDefault="00E21308" w:rsidP="00E21308">
      <w:pPr>
        <w:pStyle w:val="11Head-Bullet"/>
      </w:pPr>
      <w:r w:rsidRPr="00E21308">
        <w:rPr>
          <w:b/>
          <w:bCs/>
        </w:rPr>
        <w:t>Technical Data Sheets:</w:t>
      </w:r>
      <w:r w:rsidRPr="00E21308">
        <w:t xml:space="preserve"> Manufacturer-published specifications and data sheets for all internal primary components (reactors, switches, </w:t>
      </w:r>
      <w:r w:rsidR="00D53D26">
        <w:t xml:space="preserve">breakers, </w:t>
      </w:r>
      <w:r w:rsidRPr="00E21308">
        <w:t xml:space="preserve">arresters, fuses, </w:t>
      </w:r>
      <w:r w:rsidR="00671444">
        <w:t xml:space="preserve">capacitors, </w:t>
      </w:r>
      <w:r w:rsidRPr="00E21308">
        <w:t>and controllers</w:t>
      </w:r>
      <w:r w:rsidR="00D53D26">
        <w:t xml:space="preserve"> and all other significant devices</w:t>
      </w:r>
      <w:r w:rsidRPr="00E21308">
        <w:t>).</w:t>
      </w:r>
    </w:p>
    <w:p w14:paraId="7E4A73F2" w14:textId="77777777" w:rsidR="00E21308" w:rsidRPr="00E21308" w:rsidRDefault="00E21308" w:rsidP="00E21308">
      <w:pPr>
        <w:pStyle w:val="11Head-Bullet"/>
      </w:pPr>
      <w:r w:rsidRPr="00E21308">
        <w:rPr>
          <w:b/>
          <w:bCs/>
        </w:rPr>
        <w:t>Bill of Materials (BOM):</w:t>
      </w:r>
      <w:r w:rsidRPr="00E21308">
        <w:t xml:space="preserve"> A complete material listing identifying part numbers, ratings, and quantities for all system components.</w:t>
      </w:r>
    </w:p>
    <w:p w14:paraId="094F0F9E" w14:textId="2036E8DD" w:rsidR="00E21308" w:rsidRDefault="00E21308" w:rsidP="00E21308">
      <w:pPr>
        <w:pStyle w:val="Heading2"/>
      </w:pPr>
      <w:r w:rsidRPr="00E21308">
        <w:rPr>
          <w:b/>
          <w:bCs/>
        </w:rPr>
        <w:t>Operation and Maintenance (O&amp;M) Manuals</w:t>
      </w:r>
      <w:r>
        <w:rPr>
          <w:b/>
          <w:bCs/>
        </w:rPr>
        <w:br/>
      </w:r>
      <w:r w:rsidRPr="00E21308">
        <w:t>Final "As-Built" documentation, including certified test reports and localized O&amp;M manuals, shall be provided with the equipment shipment.</w:t>
      </w:r>
    </w:p>
    <w:p w14:paraId="1B8416B9" w14:textId="77777777" w:rsidR="00E21308" w:rsidRPr="00E21308" w:rsidRDefault="00E21308" w:rsidP="00E21308">
      <w:pPr>
        <w:pStyle w:val="Heading1"/>
      </w:pPr>
      <w:r w:rsidRPr="00E21308">
        <w:t>BID REQUIREMENTS</w:t>
      </w:r>
    </w:p>
    <w:p w14:paraId="35686703" w14:textId="338C88C2" w:rsidR="00E21308" w:rsidRPr="00E21308" w:rsidRDefault="00E21308" w:rsidP="00E21308">
      <w:pPr>
        <w:pStyle w:val="Heading2"/>
      </w:pPr>
      <w:r w:rsidRPr="00E21308">
        <w:rPr>
          <w:b/>
          <w:bCs/>
        </w:rPr>
        <w:t>Inspection and Test Plan (ITP)</w:t>
      </w:r>
      <w:r>
        <w:rPr>
          <w:b/>
          <w:bCs/>
        </w:rPr>
        <w:br/>
      </w:r>
      <w:r w:rsidRPr="00E21308">
        <w:t>The supplier shall submit a comprehensive Inspection and Test Plan (ITP) with the bid. This document must detail all proposed factory production tests, specialized type tests, and final certifications. The ITP shall include a definitive schedule for the submission of all test reports, indexed from the date of award.</w:t>
      </w:r>
    </w:p>
    <w:p w14:paraId="0144B396" w14:textId="2A22D781" w:rsidR="00E21308" w:rsidRPr="00E21308" w:rsidRDefault="00E21308" w:rsidP="00E21308">
      <w:pPr>
        <w:pStyle w:val="Heading2"/>
      </w:pPr>
      <w:r w:rsidRPr="00E21308">
        <w:rPr>
          <w:b/>
          <w:bCs/>
        </w:rPr>
        <w:t>Supplier Document List (SDL)</w:t>
      </w:r>
      <w:r>
        <w:rPr>
          <w:b/>
          <w:bCs/>
        </w:rPr>
        <w:br/>
      </w:r>
      <w:r w:rsidRPr="00E21308">
        <w:t>A Supplier Document List (SDL) shall be provided, identifying all submittal and close-out documentation to be furnished (e.g., approval drawings, O&amp;M manuals, certified test reports). The SDL must include a submittal schedule expressed in weeks after the date of award.</w:t>
      </w:r>
    </w:p>
    <w:p w14:paraId="43AA3EA2" w14:textId="7EA3025F" w:rsidR="00E21308" w:rsidRPr="00E21308" w:rsidRDefault="00E21308" w:rsidP="00E21308">
      <w:pPr>
        <w:pStyle w:val="Heading2"/>
      </w:pPr>
      <w:r w:rsidRPr="00E21308">
        <w:rPr>
          <w:b/>
          <w:bCs/>
        </w:rPr>
        <w:t>Statement of Exceptions</w:t>
      </w:r>
      <w:r>
        <w:rPr>
          <w:b/>
          <w:bCs/>
        </w:rPr>
        <w:br/>
      </w:r>
      <w:r w:rsidRPr="00E21308">
        <w:t xml:space="preserve">The supplier shall explicitly state all technical or commercial exceptions to this specification within the bid proposal. If no exceptions are </w:t>
      </w:r>
      <w:proofErr w:type="gramStart"/>
      <w:r w:rsidRPr="00E21308">
        <w:t>taken</w:t>
      </w:r>
      <w:proofErr w:type="gramEnd"/>
      <w:r w:rsidRPr="00E21308">
        <w:t>, the supplier must provide an affirmative statement that the proposal is in full compliance with the specification as written.</w:t>
      </w:r>
    </w:p>
    <w:p w14:paraId="7531AF15" w14:textId="2938C564" w:rsidR="00E21308" w:rsidRPr="00E21308" w:rsidRDefault="00E21308" w:rsidP="00E21308">
      <w:pPr>
        <w:pStyle w:val="Heading2"/>
      </w:pPr>
      <w:r w:rsidRPr="00E21308">
        <w:rPr>
          <w:b/>
          <w:bCs/>
        </w:rPr>
        <w:t>Supplier Qualification</w:t>
      </w:r>
      <w:r>
        <w:rPr>
          <w:b/>
          <w:bCs/>
        </w:rPr>
        <w:br/>
      </w:r>
      <w:r w:rsidRPr="00E21308">
        <w:t xml:space="preserve">The supplier must complete and include the attached </w:t>
      </w:r>
      <w:r w:rsidRPr="00E21308">
        <w:rPr>
          <w:b/>
          <w:bCs/>
        </w:rPr>
        <w:t>Supplier Qualification Form</w:t>
      </w:r>
      <w:r w:rsidRPr="00E21308">
        <w:t xml:space="preserve"> with their formal quotation. Failure to provide this completed form at the time of bid submission shall be grounds for immediate rejection of the proposal.</w:t>
      </w:r>
    </w:p>
    <w:p w14:paraId="0E16A2F5" w14:textId="72A6FE80" w:rsidR="00E21308" w:rsidRPr="00E21308" w:rsidRDefault="00E21308" w:rsidP="00E21308">
      <w:pPr>
        <w:pStyle w:val="Heading2"/>
      </w:pPr>
      <w:r w:rsidRPr="00E21308">
        <w:rPr>
          <w:b/>
          <w:bCs/>
        </w:rPr>
        <w:t>Warranty and Field Service</w:t>
      </w:r>
      <w:r>
        <w:rPr>
          <w:b/>
          <w:bCs/>
        </w:rPr>
        <w:br/>
      </w:r>
      <w:r w:rsidRPr="00E21308">
        <w:t>The supplier shall provide written details regarding available extended warranty options and field service agreements. These policy documents must be included in the bid package to allow for evaluation of long-term support capabilities.</w:t>
      </w:r>
    </w:p>
    <w:p w14:paraId="15763AE4" w14:textId="0B7E583C" w:rsidR="00E21308" w:rsidRPr="00E21308" w:rsidRDefault="00E21308" w:rsidP="00E21308">
      <w:pPr>
        <w:pStyle w:val="Heading2"/>
      </w:pPr>
      <w:r w:rsidRPr="00E21308">
        <w:rPr>
          <w:b/>
          <w:bCs/>
        </w:rPr>
        <w:t>Quality Policy</w:t>
      </w:r>
      <w:r w:rsidRPr="00E21308">
        <w:t xml:space="preserve"> The supplier’s formal, written Quality Policy shall be submitted with the bid as evidence of the manufacturer’s commitment to quality assurance and continuous improvement.</w:t>
      </w:r>
    </w:p>
    <w:p w14:paraId="73BE04E8" w14:textId="16A5D456" w:rsidR="00E21308" w:rsidRDefault="00E21308" w:rsidP="00E21308">
      <w:pPr>
        <w:pStyle w:val="Heading2"/>
      </w:pPr>
      <w:r w:rsidRPr="00E21308">
        <w:rPr>
          <w:b/>
          <w:bCs/>
        </w:rPr>
        <w:t>Shipping Terms</w:t>
      </w:r>
      <w:r w:rsidRPr="00E21308">
        <w:t xml:space="preserve"> All quotations shall be provided on an </w:t>
      </w:r>
      <w:r w:rsidRPr="00E21308">
        <w:rPr>
          <w:b/>
          <w:bCs/>
        </w:rPr>
        <w:t>F.O.B. Factory, Freight Allowed</w:t>
      </w:r>
      <w:r w:rsidRPr="00E21308">
        <w:t xml:space="preserve"> basis, unless otherwise specified in the project-specific RFP.</w:t>
      </w:r>
    </w:p>
    <w:p w14:paraId="656F180B" w14:textId="77777777" w:rsidR="00E9193E" w:rsidRDefault="00E9193E" w:rsidP="00E9193E"/>
    <w:p w14:paraId="29E33FE5" w14:textId="77777777" w:rsidR="00E9193E" w:rsidRDefault="00E9193E" w:rsidP="00E9193E"/>
    <w:p w14:paraId="23713260" w14:textId="77777777" w:rsidR="00E9193E" w:rsidRDefault="00E9193E" w:rsidP="00E9193E"/>
    <w:p w14:paraId="31551C73" w14:textId="77777777" w:rsidR="00E9193E" w:rsidRPr="00E9193E" w:rsidRDefault="00E9193E" w:rsidP="00E9193E"/>
    <w:p w14:paraId="55F9EF1B" w14:textId="77777777" w:rsidR="000F36A3" w:rsidRPr="000F36A3" w:rsidRDefault="000F36A3" w:rsidP="000F36A3">
      <w:pPr>
        <w:pStyle w:val="Heading1"/>
      </w:pPr>
      <w:r w:rsidRPr="000F36A3">
        <w:lastRenderedPageBreak/>
        <w:t>TESTING AND TEST REPORTS</w:t>
      </w:r>
    </w:p>
    <w:p w14:paraId="4BB6F5CD" w14:textId="10FBF984" w:rsidR="000F36A3" w:rsidRPr="000F36A3" w:rsidRDefault="000F36A3" w:rsidP="003664C1">
      <w:pPr>
        <w:pStyle w:val="Heading2"/>
      </w:pPr>
      <w:r w:rsidRPr="000F36A3">
        <w:rPr>
          <w:b/>
          <w:bCs/>
        </w:rPr>
        <w:t>General Requirements</w:t>
      </w:r>
      <w:r>
        <w:br/>
      </w:r>
      <w:r w:rsidRPr="000F36A3">
        <w:t xml:space="preserve">The manufacturer shall perform comprehensive testing on all components and the completed assembly in accordance with applicable IEEE, ANSI, and NEMA standards. A detailed </w:t>
      </w:r>
      <w:r w:rsidRPr="000F36A3">
        <w:rPr>
          <w:b/>
          <w:bCs/>
        </w:rPr>
        <w:t>Inspection and Test Plan (ITP)</w:t>
      </w:r>
      <w:r w:rsidRPr="000F36A3">
        <w:t xml:space="preserve"> shall be provided with the bid. Fabrication and assembly shall be governed by this ITP, and all results shall be documented in a certified test report.</w:t>
      </w:r>
    </w:p>
    <w:p w14:paraId="43792637" w14:textId="64608799" w:rsidR="000F36A3" w:rsidRPr="000F36A3" w:rsidRDefault="000F36A3" w:rsidP="0069361A">
      <w:pPr>
        <w:pStyle w:val="Heading2"/>
      </w:pPr>
      <w:r w:rsidRPr="000F36A3">
        <w:rPr>
          <w:b/>
          <w:bCs/>
        </w:rPr>
        <w:t>Dielectric and Insulation Testing</w:t>
      </w:r>
      <w:r>
        <w:br/>
      </w:r>
      <w:r w:rsidRPr="000F36A3">
        <w:t>The fully assembled unit shall undergo dielectric testing to verify insulation integrity under various operational configurations (e.g., main switch open/closed, stage switches open/closed).</w:t>
      </w:r>
    </w:p>
    <w:p w14:paraId="19BBE992" w14:textId="77777777" w:rsidR="000F36A3" w:rsidRPr="000F36A3" w:rsidRDefault="000F36A3" w:rsidP="000F36A3">
      <w:pPr>
        <w:pStyle w:val="11Head-Bullet"/>
      </w:pPr>
      <w:r w:rsidRPr="000F36A3">
        <w:rPr>
          <w:b/>
          <w:bCs/>
        </w:rPr>
        <w:t>Power-Frequency Withstand:</w:t>
      </w:r>
      <w:r w:rsidRPr="000F36A3">
        <w:t xml:space="preserve"> Conducted per IEEE C37.20.3 and IEEE Std 4.</w:t>
      </w:r>
    </w:p>
    <w:p w14:paraId="58FC347E" w14:textId="77777777" w:rsidR="000F36A3" w:rsidRDefault="000F36A3" w:rsidP="000F36A3">
      <w:pPr>
        <w:pStyle w:val="11Head-Bullet"/>
      </w:pPr>
      <w:r w:rsidRPr="000F36A3">
        <w:rPr>
          <w:b/>
          <w:bCs/>
        </w:rPr>
        <w:t>Lightning-Impulse Withstand (BIL):</w:t>
      </w:r>
      <w:r w:rsidRPr="000F36A3">
        <w:t xml:space="preserve"> Conducted in accordance with IEEE C37.57 and IEEE C37.20.3, Table 1.</w:t>
      </w:r>
    </w:p>
    <w:p w14:paraId="5E76B74A" w14:textId="351B5755" w:rsidR="000F36A3" w:rsidRPr="000F36A3" w:rsidRDefault="000F36A3" w:rsidP="000F36A3">
      <w:pPr>
        <w:pStyle w:val="Heading2"/>
        <w:rPr>
          <w:b/>
          <w:bCs/>
        </w:rPr>
      </w:pPr>
      <w:r w:rsidRPr="000F36A3">
        <w:rPr>
          <w:b/>
          <w:bCs/>
        </w:rPr>
        <w:t>Component-Specific Testing</w:t>
      </w:r>
    </w:p>
    <w:p w14:paraId="0B6272D8" w14:textId="77777777" w:rsidR="000F36A3" w:rsidRPr="000F36A3" w:rsidRDefault="000F36A3" w:rsidP="000F36A3">
      <w:pPr>
        <w:pStyle w:val="11Head-Bullet"/>
      </w:pPr>
      <w:r w:rsidRPr="000F36A3">
        <w:rPr>
          <w:b/>
          <w:bCs/>
        </w:rPr>
        <w:t>Air Disconnect Switch:</w:t>
      </w:r>
      <w:r w:rsidRPr="000F36A3">
        <w:t xml:space="preserve"> Shall include Contact Resistance (Ductor) testing, a 1-minute Hi-Pot test at standard voltage, and mechanical operation verification.</w:t>
      </w:r>
    </w:p>
    <w:p w14:paraId="5ADC7D97" w14:textId="38CB7994" w:rsidR="000F36A3" w:rsidRPr="000F36A3" w:rsidRDefault="009C4228" w:rsidP="000F36A3">
      <w:pPr>
        <w:pStyle w:val="11Head-Bullet"/>
      </w:pPr>
      <w:r>
        <w:rPr>
          <w:b/>
          <w:bCs/>
        </w:rPr>
        <w:t>Transient</w:t>
      </w:r>
      <w:r w:rsidR="000F36A3" w:rsidRPr="000F36A3">
        <w:rPr>
          <w:b/>
          <w:bCs/>
        </w:rPr>
        <w:t xml:space="preserve"> Reactors:</w:t>
      </w:r>
      <w:r w:rsidR="000F36A3" w:rsidRPr="000F36A3">
        <w:t xml:space="preserve"> Shall be tested for inductance and insulation integrity.</w:t>
      </w:r>
    </w:p>
    <w:p w14:paraId="57CB01BD" w14:textId="77777777" w:rsidR="000F36A3" w:rsidRPr="000F36A3" w:rsidRDefault="000F36A3" w:rsidP="000F36A3">
      <w:pPr>
        <w:pStyle w:val="11Head-Bullet"/>
      </w:pPr>
      <w:r w:rsidRPr="000F36A3">
        <w:rPr>
          <w:b/>
          <w:bCs/>
        </w:rPr>
        <w:t>Instrument Transformers (CTs/PTs):</w:t>
      </w:r>
      <w:r w:rsidRPr="000F36A3">
        <w:t xml:space="preserve"> Shall undergo Turns Ratio, Polarity, Insulation (Megger), and Excitation testing per IEEE C57.13.</w:t>
      </w:r>
    </w:p>
    <w:p w14:paraId="220EA17A" w14:textId="77777777" w:rsidR="000F36A3" w:rsidRPr="000F36A3" w:rsidRDefault="000F36A3" w:rsidP="000F36A3">
      <w:pPr>
        <w:pStyle w:val="11Head-Bullet"/>
      </w:pPr>
      <w:r w:rsidRPr="000F36A3">
        <w:rPr>
          <w:b/>
          <w:bCs/>
        </w:rPr>
        <w:t>Surge Arresters:</w:t>
      </w:r>
      <w:r w:rsidRPr="000F36A3">
        <w:t xml:space="preserve"> Verification of Reference Voltage, Residual/Discharge Voltage, Partial Discharge, and Power Frequency withstand.</w:t>
      </w:r>
    </w:p>
    <w:p w14:paraId="26559BCA" w14:textId="77777777" w:rsidR="000F36A3" w:rsidRPr="000F36A3" w:rsidRDefault="000F36A3" w:rsidP="000F36A3">
      <w:pPr>
        <w:pStyle w:val="11Head-Bullet"/>
      </w:pPr>
      <w:r w:rsidRPr="000F36A3">
        <w:rPr>
          <w:b/>
          <w:bCs/>
        </w:rPr>
        <w:t>Capacitors (if applicable):</w:t>
      </w:r>
      <w:r w:rsidRPr="000F36A3">
        <w:t xml:space="preserve"> Shall include leak testing, capacitance and loss (tan delta) measurement, discharge resistor verification, and high-voltage ground testing.</w:t>
      </w:r>
    </w:p>
    <w:p w14:paraId="3D465F63" w14:textId="56E446F0" w:rsidR="000F36A3" w:rsidRPr="000F36A3" w:rsidRDefault="000F36A3" w:rsidP="000F36A3">
      <w:pPr>
        <w:pStyle w:val="Heading2"/>
        <w:rPr>
          <w:b/>
          <w:bCs/>
        </w:rPr>
      </w:pPr>
      <w:r w:rsidRPr="000F36A3">
        <w:rPr>
          <w:b/>
          <w:bCs/>
        </w:rPr>
        <w:t>Advanced Switching Device Testing</w:t>
      </w:r>
    </w:p>
    <w:p w14:paraId="4FC62BFC" w14:textId="7C6C86F3" w:rsidR="000F36A3" w:rsidRPr="000F36A3" w:rsidRDefault="000F36A3" w:rsidP="000F36A3">
      <w:pPr>
        <w:pStyle w:val="11Head-Bullet"/>
      </w:pPr>
      <w:r w:rsidRPr="000F36A3">
        <w:rPr>
          <w:b/>
          <w:bCs/>
        </w:rPr>
        <w:t>Southern States CapSwitcher®:</w:t>
      </w:r>
      <w:r w:rsidRPr="000F36A3">
        <w:t xml:space="preserve"> Testing shall include Hi-Pot, Timing, Contact Resistance, Heater Wattage, SF6 Leak Check, Gas Density Switch verification, and Slow-Close operational checks.</w:t>
      </w:r>
    </w:p>
    <w:p w14:paraId="00924648" w14:textId="1711BBBE" w:rsidR="000F36A3" w:rsidRPr="000F36A3" w:rsidRDefault="000F36A3" w:rsidP="000F36A3">
      <w:pPr>
        <w:pStyle w:val="11Head-Bullet"/>
      </w:pPr>
      <w:r w:rsidRPr="000F36A3">
        <w:rPr>
          <w:b/>
          <w:bCs/>
        </w:rPr>
        <w:t>SF6 Circuit Breakers:</w:t>
      </w:r>
      <w:r w:rsidRPr="000F36A3">
        <w:t xml:space="preserve"> Shall undergo mechanical operation cycles, Power-Frequency Withstand, Contact Resistance, and Operating Time (Opening/Closing) benchmarks.</w:t>
      </w:r>
    </w:p>
    <w:p w14:paraId="1866A72D" w14:textId="2E6395FC" w:rsidR="000F36A3" w:rsidRPr="000F36A3" w:rsidRDefault="000F36A3" w:rsidP="001A3E1A">
      <w:pPr>
        <w:pStyle w:val="Heading2"/>
      </w:pPr>
      <w:r w:rsidRPr="000F36A3">
        <w:rPr>
          <w:b/>
          <w:bCs/>
        </w:rPr>
        <w:t>Control and Protection Verification</w:t>
      </w:r>
      <w:r>
        <w:br/>
      </w:r>
      <w:r w:rsidRPr="000F36A3">
        <w:t>All relays, meters, and control devices shall be programmed, calibrated, and functionally tested prior to shipment.</w:t>
      </w:r>
    </w:p>
    <w:p w14:paraId="352827CC" w14:textId="77777777" w:rsidR="000F36A3" w:rsidRPr="000F36A3" w:rsidRDefault="000F36A3" w:rsidP="000F36A3">
      <w:pPr>
        <w:pStyle w:val="11Head-Bullet"/>
      </w:pPr>
      <w:r w:rsidRPr="000F36A3">
        <w:rPr>
          <w:b/>
          <w:bCs/>
        </w:rPr>
        <w:t>Documentation:</w:t>
      </w:r>
      <w:r w:rsidRPr="000F36A3">
        <w:t xml:space="preserve"> Final relay settings and calibration constants shall be documented and included in the O&amp;M manuals.</w:t>
      </w:r>
    </w:p>
    <w:p w14:paraId="608B8B64" w14:textId="77777777" w:rsidR="000F36A3" w:rsidRPr="000F36A3" w:rsidRDefault="000F36A3" w:rsidP="000F36A3">
      <w:pPr>
        <w:pStyle w:val="11Head-Bullet"/>
      </w:pPr>
      <w:r w:rsidRPr="000F36A3">
        <w:rPr>
          <w:b/>
          <w:bCs/>
        </w:rPr>
        <w:t>Wiring:</w:t>
      </w:r>
      <w:r w:rsidRPr="000F36A3">
        <w:t xml:space="preserve"> A point-to-point continuity check of all control wiring shall be performed.</w:t>
      </w:r>
    </w:p>
    <w:p w14:paraId="646F55EA" w14:textId="1D3B8FC4" w:rsidR="000F36A3" w:rsidRPr="000F36A3" w:rsidRDefault="000F36A3" w:rsidP="000F36A3">
      <w:pPr>
        <w:pStyle w:val="Heading2"/>
        <w:rPr>
          <w:b/>
          <w:bCs/>
        </w:rPr>
      </w:pPr>
      <w:r w:rsidRPr="000F36A3">
        <w:rPr>
          <w:b/>
          <w:bCs/>
        </w:rPr>
        <w:t>Final Inspection and Witnessing</w:t>
      </w:r>
    </w:p>
    <w:p w14:paraId="1E3FE301" w14:textId="77777777" w:rsidR="000F36A3" w:rsidRPr="000F36A3" w:rsidRDefault="000F36A3" w:rsidP="000F36A3">
      <w:pPr>
        <w:pStyle w:val="11Head-Bullet"/>
      </w:pPr>
      <w:r w:rsidRPr="000F36A3">
        <w:rPr>
          <w:b/>
          <w:bCs/>
        </w:rPr>
        <w:t>Assembly:</w:t>
      </w:r>
      <w:r w:rsidRPr="000F36A3">
        <w:t xml:space="preserve"> The equipment shall be fully assembled and undergo a final mechanical and electrical integration test prior to shipment.</w:t>
      </w:r>
    </w:p>
    <w:p w14:paraId="13F44D8C" w14:textId="77777777" w:rsidR="000F36A3" w:rsidRPr="000F36A3" w:rsidRDefault="000F36A3" w:rsidP="000F36A3">
      <w:pPr>
        <w:pStyle w:val="11Head-Bullet"/>
      </w:pPr>
      <w:r w:rsidRPr="000F36A3">
        <w:rPr>
          <w:b/>
          <w:bCs/>
        </w:rPr>
        <w:t>Certified Reports:</w:t>
      </w:r>
      <w:r w:rsidRPr="000F36A3">
        <w:t xml:space="preserve"> All test reports must be signed by a Professional Engineer or Quality Manager and approved by the customer before the equipment leaves the factory.</w:t>
      </w:r>
    </w:p>
    <w:p w14:paraId="1E4F9F78" w14:textId="77777777" w:rsidR="000F36A3" w:rsidRPr="000F36A3" w:rsidRDefault="000F36A3" w:rsidP="000F36A3">
      <w:pPr>
        <w:pStyle w:val="11Head-Bullet"/>
      </w:pPr>
      <w:r w:rsidRPr="000F36A3">
        <w:rPr>
          <w:b/>
          <w:bCs/>
        </w:rPr>
        <w:t>Witness Testing:</w:t>
      </w:r>
      <w:r w:rsidRPr="000F36A3">
        <w:t xml:space="preserve"> The customer reserves the right to witness any or all tests at the manufacturer’s facility at no additional contract cost. The manufacturer shall provide a minimum of </w:t>
      </w:r>
      <w:r w:rsidRPr="000F36A3">
        <w:rPr>
          <w:b/>
          <w:bCs/>
        </w:rPr>
        <w:t>15 working days</w:t>
      </w:r>
      <w:r w:rsidRPr="000F36A3">
        <w:t xml:space="preserve"> notice prior to the commencement of witnessed testing.</w:t>
      </w:r>
    </w:p>
    <w:p w14:paraId="5A466399" w14:textId="77777777" w:rsidR="000F36A3" w:rsidRPr="000F36A3" w:rsidRDefault="000F36A3" w:rsidP="000F36A3"/>
    <w:p w14:paraId="70215166" w14:textId="77777777" w:rsidR="000F36A3" w:rsidRPr="000F36A3" w:rsidRDefault="000F36A3" w:rsidP="000F36A3">
      <w:pPr>
        <w:pStyle w:val="Heading1"/>
      </w:pPr>
      <w:r w:rsidRPr="000F36A3">
        <w:lastRenderedPageBreak/>
        <w:t>ACCEPTABLE PRODUCT AND SUPPLIERS</w:t>
      </w:r>
    </w:p>
    <w:p w14:paraId="493CA147" w14:textId="2E30F339" w:rsidR="000F36A3" w:rsidRPr="000F36A3" w:rsidRDefault="000F36A3" w:rsidP="000F36A3">
      <w:pPr>
        <w:pStyle w:val="Heading2"/>
      </w:pPr>
      <w:r w:rsidRPr="000F36A3">
        <w:rPr>
          <w:b/>
          <w:bCs/>
        </w:rPr>
        <w:t>Warranty Requirements</w:t>
      </w:r>
      <w:r>
        <w:rPr>
          <w:b/>
          <w:bCs/>
        </w:rPr>
        <w:br/>
      </w:r>
      <w:r w:rsidRPr="000F36A3">
        <w:t>The supplier shall provide a standard warranty for all equipment and components for a period of 18 months from the date of shipment or 12 months from the date of energization, whichever occurs first. In addition to the standard warranty, the supplier must have extended warranty programs available for purchase at the time of the bid.</w:t>
      </w:r>
    </w:p>
    <w:p w14:paraId="3603F7EF" w14:textId="4EAFA3EB" w:rsidR="000F36A3" w:rsidRPr="000F36A3" w:rsidRDefault="000F36A3" w:rsidP="000F36A3">
      <w:pPr>
        <w:pStyle w:val="Heading2"/>
      </w:pPr>
      <w:r w:rsidRPr="000F36A3">
        <w:rPr>
          <w:b/>
          <w:bCs/>
        </w:rPr>
        <w:t>Testing Capabilities</w:t>
      </w:r>
      <w:r>
        <w:rPr>
          <w:b/>
          <w:bCs/>
        </w:rPr>
        <w:br/>
      </w:r>
      <w:r w:rsidRPr="000F36A3">
        <w:t>The supplier must demonstrate the facility infrastructure and technical expertise required to meet all primary, dielectric, and functional testing requirements specified in Section 4.10 (Testing and Test Reports).</w:t>
      </w:r>
    </w:p>
    <w:p w14:paraId="514B6F2E" w14:textId="2D4C5CEE" w:rsidR="000F36A3" w:rsidRPr="000F36A3" w:rsidRDefault="000F36A3" w:rsidP="000F36A3">
      <w:pPr>
        <w:pStyle w:val="Heading2"/>
      </w:pPr>
      <w:r w:rsidRPr="000F36A3">
        <w:rPr>
          <w:b/>
          <w:bCs/>
        </w:rPr>
        <w:t>Quality System Certification</w:t>
      </w:r>
      <w:r>
        <w:rPr>
          <w:b/>
          <w:bCs/>
        </w:rPr>
        <w:br/>
      </w:r>
      <w:r w:rsidRPr="000F36A3">
        <w:t>The manufacturer shall maintain a current ISO 9001 certification. This certification must be issued by an independent, ISO-accredited auditing firm. A valid copy of the ISO 9001 certificate shall be included as a mandatory component of the bid package.</w:t>
      </w:r>
    </w:p>
    <w:p w14:paraId="55F50C01" w14:textId="188DF5EB" w:rsidR="000F36A3" w:rsidRPr="000F36A3" w:rsidRDefault="000F36A3" w:rsidP="000F36A3">
      <w:pPr>
        <w:pStyle w:val="Heading2"/>
      </w:pPr>
      <w:r w:rsidRPr="000F36A3">
        <w:rPr>
          <w:b/>
          <w:bCs/>
        </w:rPr>
        <w:t>Manufacturer Experience and References</w:t>
      </w:r>
      <w:r>
        <w:rPr>
          <w:b/>
          <w:bCs/>
        </w:rPr>
        <w:br/>
      </w:r>
      <w:r w:rsidRPr="000F36A3">
        <w:t xml:space="preserve">The supplier shall demonstrate that they are a regular, established manufacturer of medium-voltage automatic metal-enclosed </w:t>
      </w:r>
      <w:r w:rsidR="00C66FDC">
        <w:t>capacitor bank</w:t>
      </w:r>
      <w:r w:rsidRPr="000F36A3">
        <w:t>s. To verify technical proficiency and product reliability, the following shall be provided upon request:</w:t>
      </w:r>
    </w:p>
    <w:p w14:paraId="34DA6977" w14:textId="77777777" w:rsidR="000F36A3" w:rsidRPr="000F36A3" w:rsidRDefault="000F36A3" w:rsidP="000F36A3">
      <w:pPr>
        <w:pStyle w:val="11Head-Bullet"/>
      </w:pPr>
      <w:r w:rsidRPr="000F36A3">
        <w:rPr>
          <w:b/>
          <w:bCs/>
        </w:rPr>
        <w:t>Product Literature:</w:t>
      </w:r>
      <w:r w:rsidRPr="000F36A3">
        <w:t xml:space="preserve"> Formal technical specifications and brochures detailing the manufacturer's shunt reactor product line.</w:t>
      </w:r>
    </w:p>
    <w:p w14:paraId="3A0CD1AC" w14:textId="77777777" w:rsidR="000F36A3" w:rsidRDefault="000F36A3" w:rsidP="000F36A3">
      <w:pPr>
        <w:pStyle w:val="11Head-Bullet"/>
      </w:pPr>
      <w:r w:rsidRPr="000F36A3">
        <w:rPr>
          <w:b/>
          <w:bCs/>
        </w:rPr>
        <w:t>Reference List:</w:t>
      </w:r>
      <w:r w:rsidRPr="000F36A3">
        <w:t xml:space="preserve"> A list of customers and projects involving the successful installation and operation of similar metal-enclosed reactive compensation systems.</w:t>
      </w:r>
    </w:p>
    <w:p w14:paraId="20ABF8C2" w14:textId="298704BD" w:rsidR="000F36A3" w:rsidRDefault="000F36A3" w:rsidP="000F36A3">
      <w:pPr>
        <w:pStyle w:val="Heading2"/>
      </w:pPr>
      <w:r w:rsidRPr="00620972">
        <w:rPr>
          <w:b/>
          <w:bCs/>
        </w:rPr>
        <w:t>Acceptable Manufacturer and Product:</w:t>
      </w:r>
      <w:r>
        <w:br/>
      </w:r>
      <w:r>
        <w:br/>
      </w:r>
      <w:r w:rsidRPr="000F36A3">
        <w:rPr>
          <w:b/>
          <w:bCs/>
        </w:rPr>
        <w:t>VarStec Power Solutions</w:t>
      </w:r>
      <w:r>
        <w:br/>
      </w:r>
      <w:hyperlink r:id="rId10" w:history="1">
        <w:r w:rsidRPr="003D1A0C">
          <w:rPr>
            <w:rStyle w:val="Hyperlink"/>
          </w:rPr>
          <w:t>Info@VarStec.com</w:t>
        </w:r>
      </w:hyperlink>
      <w:r>
        <w:br/>
        <w:t>VarStec.com</w:t>
      </w:r>
    </w:p>
    <w:p w14:paraId="040A77FC" w14:textId="77777777" w:rsidR="000F36A3" w:rsidRPr="000F36A3" w:rsidRDefault="000F36A3" w:rsidP="000F36A3"/>
    <w:p w14:paraId="5876B87C" w14:textId="77777777" w:rsidR="000F36A3" w:rsidRPr="000F36A3" w:rsidRDefault="000F36A3" w:rsidP="000F36A3"/>
    <w:p w14:paraId="4D8AAA9F" w14:textId="77777777" w:rsidR="00E21308" w:rsidRDefault="00E21308" w:rsidP="00AA4DE3">
      <w:pPr>
        <w:pStyle w:val="11Head-Bullet"/>
        <w:numPr>
          <w:ilvl w:val="0"/>
          <w:numId w:val="0"/>
        </w:numPr>
        <w:ind w:left="450"/>
      </w:pPr>
    </w:p>
    <w:sectPr w:rsidR="00E21308" w:rsidSect="00667E6F">
      <w:headerReference w:type="even" r:id="rId11"/>
      <w:headerReference w:type="default" r:id="rId12"/>
      <w:footerReference w:type="even" r:id="rId13"/>
      <w:footerReference w:type="default" r:id="rId14"/>
      <w:headerReference w:type="first" r:id="rId15"/>
      <w:footerReference w:type="first" r:id="rId16"/>
      <w:pgSz w:w="12240" w:h="15840"/>
      <w:pgMar w:top="1915" w:right="720" w:bottom="907" w:left="1440" w:header="634" w:footer="965"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84A2A" w14:textId="77777777" w:rsidR="003B37BF" w:rsidRDefault="003B37BF">
      <w:r>
        <w:separator/>
      </w:r>
    </w:p>
  </w:endnote>
  <w:endnote w:type="continuationSeparator" w:id="0">
    <w:p w14:paraId="57E74743" w14:textId="77777777" w:rsidR="003B37BF" w:rsidRDefault="003B3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8867A" w14:textId="77777777" w:rsidR="0014645B" w:rsidRDefault="001464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0266C" w14:textId="195AEB57" w:rsidR="00C16E03" w:rsidRDefault="00D8422A">
    <w:pPr>
      <w:pStyle w:val="Footer"/>
    </w:pPr>
    <w:r>
      <w:rPr>
        <w:noProof/>
      </w:rPr>
      <mc:AlternateContent>
        <mc:Choice Requires="wps">
          <w:drawing>
            <wp:anchor distT="0" distB="0" distL="114300" distR="114300" simplePos="0" relativeHeight="251658250" behindDoc="0" locked="0" layoutInCell="1" allowOverlap="1" wp14:anchorId="5003321C" wp14:editId="7AE0B16C">
              <wp:simplePos x="0" y="0"/>
              <wp:positionH relativeFrom="column">
                <wp:posOffset>4432106</wp:posOffset>
              </wp:positionH>
              <wp:positionV relativeFrom="paragraph">
                <wp:posOffset>40695</wp:posOffset>
              </wp:positionV>
              <wp:extent cx="1923802" cy="409433"/>
              <wp:effectExtent l="0" t="0" r="0" b="0"/>
              <wp:wrapNone/>
              <wp:docPr id="3447150" name="Text Box 4"/>
              <wp:cNvGraphicFramePr/>
              <a:graphic xmlns:a="http://schemas.openxmlformats.org/drawingml/2006/main">
                <a:graphicData uri="http://schemas.microsoft.com/office/word/2010/wordprocessingShape">
                  <wps:wsp>
                    <wps:cNvSpPr txBox="1"/>
                    <wps:spPr>
                      <a:xfrm>
                        <a:off x="0" y="0"/>
                        <a:ext cx="1923802" cy="409433"/>
                      </a:xfrm>
                      <a:prstGeom prst="rect">
                        <a:avLst/>
                      </a:prstGeom>
                      <a:noFill/>
                      <a:ln w="6350">
                        <a:noFill/>
                      </a:ln>
                    </wps:spPr>
                    <wps:txbx>
                      <w:txbxContent>
                        <w:p w14:paraId="622E8A25" w14:textId="77777777" w:rsidR="00D8422A" w:rsidRDefault="00000000" w:rsidP="00D8422A">
                          <w:pPr>
                            <w:jc w:val="right"/>
                          </w:pPr>
                          <w:sdt>
                            <w:sdtPr>
                              <w:id w:val="1004864762"/>
                              <w:docPartObj>
                                <w:docPartGallery w:val="Page Numbers (Bottom of Page)"/>
                                <w:docPartUnique/>
                              </w:docPartObj>
                            </w:sdtPr>
                            <w:sdtEndPr>
                              <w:rPr>
                                <w:color w:val="7F7F7F" w:themeColor="background1" w:themeShade="7F"/>
                                <w:spacing w:val="60"/>
                              </w:rPr>
                            </w:sdtEndPr>
                            <w:sdtContent>
                              <w:r w:rsidR="00D8422A">
                                <w:fldChar w:fldCharType="begin"/>
                              </w:r>
                              <w:r w:rsidR="00D8422A">
                                <w:instrText xml:space="preserve"> PAGE   \* MERGEFORMAT </w:instrText>
                              </w:r>
                              <w:r w:rsidR="00D8422A">
                                <w:fldChar w:fldCharType="separate"/>
                              </w:r>
                              <w:r w:rsidR="00D8422A">
                                <w:t>2</w:t>
                              </w:r>
                              <w:r w:rsidR="00D8422A">
                                <w:rPr>
                                  <w:noProof/>
                                </w:rPr>
                                <w:fldChar w:fldCharType="end"/>
                              </w:r>
                              <w:r w:rsidR="00D8422A">
                                <w:t xml:space="preserve"> | </w:t>
                              </w:r>
                              <w:r w:rsidR="00D8422A" w:rsidRPr="0093061B">
                                <w:rPr>
                                  <w:rFonts w:ascii="Calibri" w:hAnsi="Calibri" w:cs="Calibri"/>
                                  <w:color w:val="7F7F7F" w:themeColor="background1" w:themeShade="7F"/>
                                  <w:spacing w:val="60"/>
                                </w:rPr>
                                <w:t>Page</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003321C" id="_x0000_t202" coordsize="21600,21600" o:spt="202" path="m,l,21600r21600,l21600,xe">
              <v:stroke joinstyle="miter"/>
              <v:path gradientshapeok="t" o:connecttype="rect"/>
            </v:shapetype>
            <v:shape id="Text Box 4" o:spid="_x0000_s1027" type="#_x0000_t202" style="position:absolute;margin-left:349pt;margin-top:3.2pt;width:151.5pt;height:32.2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" filled="f" stroked="f" strokeweight=".5pt">
              <v:textbox>
                <w:txbxContent>
                  <w:p w14:paraId="622E8A25" w14:textId="77777777" w:rsidR="00D8422A" w:rsidRDefault="00F97C29" w:rsidP="00D8422A">
                    <w:pPr>
                      <w:jc w:val="right"/>
                    </w:pPr>
                    <w:sdt>
                      <w:sdtPr>
                        <w:id w:val="1004864762"/>
                        <w:docPartObj>
                          <w:docPartGallery w:val="Page Numbers (Bottom of Page)"/>
                          <w:docPartUnique/>
                        </w:docPartObj>
                      </w:sdtPr>
                      <w:sdtEndPr>
                        <w:rPr>
                          <w:color w:val="7F7F7F" w:themeColor="background1" w:themeShade="7F"/>
                          <w:spacing w:val="60"/>
                        </w:rPr>
                      </w:sdtEndPr>
                      <w:sdtContent>
                        <w:r w:rsidR="00D8422A">
                          <w:fldChar w:fldCharType="begin"/>
                        </w:r>
                        <w:r w:rsidR="00D8422A">
                          <w:instrText xml:space="preserve"> PAGE   \* MERGEFORMAT </w:instrText>
                        </w:r>
                        <w:r w:rsidR="00D8422A">
                          <w:fldChar w:fldCharType="separate"/>
                        </w:r>
                        <w:r w:rsidR="00D8422A">
                          <w:t>2</w:t>
                        </w:r>
                        <w:r w:rsidR="00D8422A">
                          <w:rPr>
                            <w:noProof/>
                          </w:rPr>
                          <w:fldChar w:fldCharType="end"/>
                        </w:r>
                        <w:r w:rsidR="00D8422A">
                          <w:t xml:space="preserve"> | </w:t>
                        </w:r>
                        <w:r w:rsidR="00D8422A" w:rsidRPr="0093061B">
                          <w:rPr>
                            <w:rFonts w:ascii="Calibri" w:hAnsi="Calibri" w:cs="Calibri"/>
                            <w:color w:val="7F7F7F" w:themeColor="background1" w:themeShade="7F"/>
                            <w:spacing w:val="60"/>
                          </w:rPr>
                          <w:t>Page</w:t>
                        </w:r>
                      </w:sdtContent>
                    </w:sdt>
                  </w:p>
                </w:txbxContent>
              </v:textbox>
            </v:shape>
          </w:pict>
        </mc:Fallback>
      </mc:AlternateContent>
    </w:r>
    <w:r>
      <w:rPr>
        <w:noProof/>
      </w:rPr>
      <mc:AlternateContent>
        <mc:Choice Requires="wps">
          <w:drawing>
            <wp:anchor distT="0" distB="0" distL="114300" distR="114300" simplePos="0" relativeHeight="251658249" behindDoc="0" locked="0" layoutInCell="1" allowOverlap="1" wp14:anchorId="2EECB1CD" wp14:editId="5513914C">
              <wp:simplePos x="0" y="0"/>
              <wp:positionH relativeFrom="column">
                <wp:posOffset>-445273</wp:posOffset>
              </wp:positionH>
              <wp:positionV relativeFrom="paragraph">
                <wp:posOffset>7951</wp:posOffset>
              </wp:positionV>
              <wp:extent cx="6732650" cy="0"/>
              <wp:effectExtent l="0" t="0" r="0" b="0"/>
              <wp:wrapNone/>
              <wp:docPr id="1397963856" name="Straight Connector 3"/>
              <wp:cNvGraphicFramePr/>
              <a:graphic xmlns:a="http://schemas.openxmlformats.org/drawingml/2006/main">
                <a:graphicData uri="http://schemas.microsoft.com/office/word/2010/wordprocessingShape">
                  <wps:wsp>
                    <wps:cNvCnPr/>
                    <wps:spPr>
                      <a:xfrm flipV="1">
                        <a:off x="0" y="0"/>
                        <a:ext cx="6732650" cy="0"/>
                      </a:xfrm>
                      <a:prstGeom prst="line">
                        <a:avLst/>
                      </a:prstGeom>
                      <a:ln>
                        <a:solidFill>
                          <a:srgbClr val="EE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04D1FA" id="Straight Connector 3" o:spid="_x0000_s1026" style="position:absolute;flip:y;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05pt,.65pt" to="495.1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" strokecolor="#e00" strokeweight="2pt">
              <v:shadow on="t" color="black" opacity="24903f" origin=",.5" offset="0,.55556mm"/>
            </v:line>
          </w:pict>
        </mc:Fallback>
      </mc:AlternateContent>
    </w:r>
    <w:r>
      <w:rPr>
        <w:noProof/>
      </w:rPr>
      <mc:AlternateContent>
        <mc:Choice Requires="wps">
          <w:drawing>
            <wp:anchor distT="0" distB="0" distL="114300" distR="114300" simplePos="0" relativeHeight="251658248" behindDoc="0" locked="0" layoutInCell="1" allowOverlap="1" wp14:anchorId="24FD2733" wp14:editId="5ADAC59C">
              <wp:simplePos x="0" y="0"/>
              <wp:positionH relativeFrom="column">
                <wp:posOffset>-496957</wp:posOffset>
              </wp:positionH>
              <wp:positionV relativeFrom="paragraph">
                <wp:posOffset>136359</wp:posOffset>
              </wp:positionV>
              <wp:extent cx="2590800" cy="344170"/>
              <wp:effectExtent l="0" t="0" r="0" b="0"/>
              <wp:wrapSquare wrapText="bothSides"/>
              <wp:docPr id="691266548" name="Text Box 2"/>
              <wp:cNvGraphicFramePr/>
              <a:graphic xmlns:a="http://schemas.openxmlformats.org/drawingml/2006/main">
                <a:graphicData uri="http://schemas.microsoft.com/office/word/2010/wordprocessingShape">
                  <wps:wsp>
                    <wps:cNvSpPr txBox="1"/>
                    <wps:spPr>
                      <a:xfrm>
                        <a:off x="0" y="0"/>
                        <a:ext cx="2590800" cy="344170"/>
                      </a:xfrm>
                      <a:prstGeom prst="rect">
                        <a:avLst/>
                      </a:prstGeom>
                      <a:noFill/>
                      <a:ln w="6350">
                        <a:noFill/>
                      </a:ln>
                    </wps:spPr>
                    <wps:txbx>
                      <w:txbxContent>
                        <w:p w14:paraId="2655FEFF" w14:textId="77777777" w:rsidR="00D8422A" w:rsidRDefault="00D8422A" w:rsidP="00D8422A">
                          <w:r w:rsidRPr="00422653">
                            <w:t>info@VarStec.com</w:t>
                          </w:r>
                          <w:r>
                            <w:t xml:space="preserve"> </w:t>
                          </w:r>
                          <w:r w:rsidRPr="002353C7">
                            <w:rPr>
                              <w:b/>
                              <w:bCs/>
                              <w:color w:val="000000"/>
                              <w:sz w:val="32"/>
                              <w:szCs w:val="32"/>
                            </w:rPr>
                            <w:t>·</w:t>
                          </w:r>
                          <w:r>
                            <w:t xml:space="preserve"> VarStec.com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FD2733" id="_x0000_s1028" type="#_x0000_t202" style="position:absolute;margin-left:-39.15pt;margin-top:10.75pt;width:204pt;height:27.1pt;z-index:2516582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" filled="f" stroked="f" strokeweight=".5pt">
              <v:textbox>
                <w:txbxContent>
                  <w:p w14:paraId="2655FEFF" w14:textId="77777777" w:rsidR="00D8422A" w:rsidRDefault="00D8422A" w:rsidP="00D8422A">
                    <w:r w:rsidRPr="00422653">
                      <w:t>info@VarStec.com</w:t>
                    </w:r>
                    <w:r>
                      <w:t xml:space="preserve"> </w:t>
                    </w:r>
                    <w:r w:rsidRPr="002353C7">
                      <w:rPr>
                        <w:b/>
                        <w:bCs/>
                        <w:color w:val="000000"/>
                        <w:sz w:val="32"/>
                        <w:szCs w:val="32"/>
                      </w:rPr>
                      <w:t>·</w:t>
                    </w:r>
                    <w:r>
                      <w:t xml:space="preserve"> VarStec.com</w:t>
                    </w:r>
                  </w:p>
                </w:txbxContent>
              </v:textbox>
              <w10:wrap type="square"/>
            </v:shape>
          </w:pict>
        </mc:Fallback>
      </mc:AlternateContent>
    </w:r>
  </w:p>
  <w:p w14:paraId="493EEE13" w14:textId="2FA0C1C4" w:rsidR="00C16E03" w:rsidRDefault="00C16E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1A1" w14:textId="5014A681" w:rsidR="00D8422A" w:rsidRDefault="00D8422A">
    <w:pPr>
      <w:pStyle w:val="Footer"/>
    </w:pPr>
    <w:r>
      <w:rPr>
        <w:noProof/>
      </w:rPr>
      <mc:AlternateContent>
        <mc:Choice Requires="wps">
          <w:drawing>
            <wp:anchor distT="0" distB="0" distL="114300" distR="114300" simplePos="0" relativeHeight="251658243" behindDoc="0" locked="0" layoutInCell="1" allowOverlap="1" wp14:anchorId="65C7F1F9" wp14:editId="0F5386C3">
              <wp:simplePos x="0" y="0"/>
              <wp:positionH relativeFrom="column">
                <wp:posOffset>-596265</wp:posOffset>
              </wp:positionH>
              <wp:positionV relativeFrom="paragraph">
                <wp:posOffset>-19988</wp:posOffset>
              </wp:positionV>
              <wp:extent cx="2590800" cy="344170"/>
              <wp:effectExtent l="0" t="0" r="0" b="0"/>
              <wp:wrapNone/>
              <wp:docPr id="1989089970" name="Text Box 2"/>
              <wp:cNvGraphicFramePr/>
              <a:graphic xmlns:a="http://schemas.openxmlformats.org/drawingml/2006/main">
                <a:graphicData uri="http://schemas.microsoft.com/office/word/2010/wordprocessingShape">
                  <wps:wsp>
                    <wps:cNvSpPr txBox="1"/>
                    <wps:spPr>
                      <a:xfrm>
                        <a:off x="0" y="0"/>
                        <a:ext cx="2590800" cy="344170"/>
                      </a:xfrm>
                      <a:prstGeom prst="rect">
                        <a:avLst/>
                      </a:prstGeom>
                      <a:noFill/>
                      <a:ln w="6350">
                        <a:noFill/>
                      </a:ln>
                    </wps:spPr>
                    <wps:txbx>
                      <w:txbxContent>
                        <w:p w14:paraId="45B15B71" w14:textId="77777777" w:rsidR="00D8422A" w:rsidRPr="0047777F" w:rsidRDefault="00D8422A" w:rsidP="00D8422A">
                          <w:pPr>
                            <w:rPr>
                              <w:rFonts w:ascii="Calibri" w:hAnsi="Calibri" w:cs="Calibri"/>
                            </w:rPr>
                          </w:pPr>
                          <w:r w:rsidRPr="0047777F">
                            <w:rPr>
                              <w:rFonts w:ascii="Calibri" w:hAnsi="Calibri" w:cs="Calibri"/>
                            </w:rPr>
                            <w:t xml:space="preserve">info@VarStec.com </w:t>
                          </w:r>
                          <w:r w:rsidRPr="0047777F">
                            <w:rPr>
                              <w:rFonts w:ascii="Calibri" w:hAnsi="Calibri" w:cs="Calibri"/>
                              <w:b/>
                              <w:bCs/>
                              <w:color w:val="0E9ED9"/>
                            </w:rPr>
                            <w:t>·</w:t>
                          </w:r>
                          <w:r w:rsidRPr="0047777F">
                            <w:rPr>
                              <w:rFonts w:ascii="Calibri" w:hAnsi="Calibri" w:cs="Calibri"/>
                            </w:rPr>
                            <w:t xml:space="preserve"> VarStec.com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C7F1F9" id="_x0000_t202" coordsize="21600,21600" o:spt="202" path="m,l,21600r21600,l21600,xe">
              <v:stroke joinstyle="miter"/>
              <v:path gradientshapeok="t" o:connecttype="rect"/>
            </v:shapetype>
            <v:shape id="_x0000_s1030" type="#_x0000_t202" style="position:absolute;margin-left:-46.95pt;margin-top:-1.55pt;width:204pt;height:27.1pt;z-index:251658243;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" filled="f" stroked="f" strokeweight=".5pt">
              <v:textbox>
                <w:txbxContent>
                  <w:p w14:paraId="45B15B71" w14:textId="77777777" w:rsidR="00D8422A" w:rsidRPr="0047777F" w:rsidRDefault="00D8422A" w:rsidP="00D8422A">
                    <w:pPr>
                      <w:rPr>
                        <w:rFonts w:ascii="Calibri" w:hAnsi="Calibri" w:cs="Calibri"/>
                      </w:rPr>
                    </w:pPr>
                    <w:r w:rsidRPr="0047777F">
                      <w:rPr>
                        <w:rFonts w:ascii="Calibri" w:hAnsi="Calibri" w:cs="Calibri"/>
                      </w:rPr>
                      <w:t xml:space="preserve">info@VarStec.com </w:t>
                    </w:r>
                    <w:r w:rsidRPr="0047777F">
                      <w:rPr>
                        <w:rFonts w:ascii="Calibri" w:hAnsi="Calibri" w:cs="Calibri"/>
                        <w:b/>
                        <w:bCs/>
                        <w:color w:val="0E9ED9"/>
                      </w:rPr>
                      <w:t>·</w:t>
                    </w:r>
                    <w:r w:rsidRPr="0047777F">
                      <w:rPr>
                        <w:rFonts w:ascii="Calibri" w:hAnsi="Calibri" w:cs="Calibri"/>
                      </w:rPr>
                      <w:t xml:space="preserve"> VarStec.com</w:t>
                    </w:r>
                  </w:p>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40B32708" wp14:editId="51DCE3D5">
              <wp:simplePos x="0" y="0"/>
              <wp:positionH relativeFrom="column">
                <wp:posOffset>-524786</wp:posOffset>
              </wp:positionH>
              <wp:positionV relativeFrom="paragraph">
                <wp:posOffset>-31805</wp:posOffset>
              </wp:positionV>
              <wp:extent cx="6718102" cy="11875"/>
              <wp:effectExtent l="0" t="0" r="26035" b="26670"/>
              <wp:wrapNone/>
              <wp:docPr id="2127286234" name="Straight Connector 3"/>
              <wp:cNvGraphicFramePr/>
              <a:graphic xmlns:a="http://schemas.openxmlformats.org/drawingml/2006/main">
                <a:graphicData uri="http://schemas.microsoft.com/office/word/2010/wordprocessingShape">
                  <wps:wsp>
                    <wps:cNvCnPr/>
                    <wps:spPr>
                      <a:xfrm>
                        <a:off x="0" y="0"/>
                        <a:ext cx="6718102" cy="11875"/>
                      </a:xfrm>
                      <a:prstGeom prst="line">
                        <a:avLst/>
                      </a:prstGeom>
                      <a:ln>
                        <a:solidFill>
                          <a:srgbClr val="EE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04B1CC" id="Straight Connector 3"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3pt,-2.5pt" to="487.7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" strokecolor="#e00" strokeweight="2pt">
              <v:shadow on="t" color="black" opacity="24903f" origin=",.5" offset="0,.55556mm"/>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B471D" w14:textId="77777777" w:rsidR="003B37BF" w:rsidRDefault="003B37BF">
      <w:r>
        <w:separator/>
      </w:r>
    </w:p>
  </w:footnote>
  <w:footnote w:type="continuationSeparator" w:id="0">
    <w:p w14:paraId="7C393786" w14:textId="77777777" w:rsidR="003B37BF" w:rsidRDefault="003B37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2B600" w14:textId="77777777" w:rsidR="0014645B" w:rsidRDefault="001464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267EE" w14:textId="070F2328" w:rsidR="00C16E03" w:rsidRDefault="00D8422A">
    <w:pPr>
      <w:pStyle w:val="Header"/>
    </w:pPr>
    <w:r>
      <w:rPr>
        <w:noProof/>
      </w:rPr>
      <mc:AlternateContent>
        <mc:Choice Requires="wps">
          <w:drawing>
            <wp:anchor distT="0" distB="0" distL="114300" distR="114300" simplePos="0" relativeHeight="251658247" behindDoc="0" locked="0" layoutInCell="1" allowOverlap="1" wp14:anchorId="6AC4681B" wp14:editId="053A0645">
              <wp:simplePos x="0" y="0"/>
              <wp:positionH relativeFrom="column">
                <wp:posOffset>-445135</wp:posOffset>
              </wp:positionH>
              <wp:positionV relativeFrom="paragraph">
                <wp:posOffset>-63169</wp:posOffset>
              </wp:positionV>
              <wp:extent cx="4627659" cy="578375"/>
              <wp:effectExtent l="0" t="0" r="0" b="0"/>
              <wp:wrapNone/>
              <wp:docPr id="1381317556" name="Text Box 2"/>
              <wp:cNvGraphicFramePr/>
              <a:graphic xmlns:a="http://schemas.openxmlformats.org/drawingml/2006/main">
                <a:graphicData uri="http://schemas.microsoft.com/office/word/2010/wordprocessingShape">
                  <wps:wsp>
                    <wps:cNvSpPr txBox="1"/>
                    <wps:spPr>
                      <a:xfrm>
                        <a:off x="0" y="0"/>
                        <a:ext cx="4627659" cy="578375"/>
                      </a:xfrm>
                      <a:prstGeom prst="rect">
                        <a:avLst/>
                      </a:prstGeom>
                      <a:noFill/>
                      <a:ln w="6350">
                        <a:noFill/>
                      </a:ln>
                    </wps:spPr>
                    <wps:txbx>
                      <w:txbxContent>
                        <w:p w14:paraId="5B0C809A" w14:textId="328F0B4C" w:rsidR="00D8422A" w:rsidRPr="00620972" w:rsidRDefault="00620972" w:rsidP="001C3377">
                          <w:pPr>
                            <w:pStyle w:val="Title"/>
                            <w:jc w:val="left"/>
                            <w:rPr>
                              <w:rFonts w:cs="Calibri"/>
                              <w:b w:val="0"/>
                              <w:bCs w:val="0"/>
                              <w:sz w:val="20"/>
                              <w:szCs w:val="20"/>
                            </w:rPr>
                          </w:pPr>
                          <w:r w:rsidRPr="00620972">
                            <w:rPr>
                              <w:sz w:val="20"/>
                              <w:szCs w:val="20"/>
                            </w:rPr>
                            <w:t xml:space="preserve">Guide Form Specification for Medium Voltage </w:t>
                          </w:r>
                          <w:r w:rsidR="001C3377">
                            <w:rPr>
                              <w:sz w:val="20"/>
                              <w:szCs w:val="20"/>
                            </w:rPr>
                            <w:t>Metal-Enclosed</w:t>
                          </w:r>
                          <w:r w:rsidR="00266F08">
                            <w:rPr>
                              <w:sz w:val="20"/>
                              <w:szCs w:val="20"/>
                            </w:rPr>
                            <w:br/>
                          </w:r>
                          <w:r w:rsidR="001C3377">
                            <w:rPr>
                              <w:sz w:val="20"/>
                              <w:szCs w:val="20"/>
                            </w:rPr>
                            <w:t xml:space="preserve">Automatic </w:t>
                          </w:r>
                          <w:r w:rsidR="00A30178">
                            <w:rPr>
                              <w:sz w:val="20"/>
                              <w:szCs w:val="20"/>
                            </w:rPr>
                            <w:t>Capacitor bank</w:t>
                          </w:r>
                          <w:r w:rsidR="00266F08">
                            <w:rPr>
                              <w:sz w:val="20"/>
                              <w:szCs w:val="20"/>
                            </w:rPr>
                            <w:t xml:space="preserve"> –</w:t>
                          </w:r>
                          <w:r w:rsidR="00896728">
                            <w:rPr>
                              <w:sz w:val="20"/>
                              <w:szCs w:val="20"/>
                            </w:rPr>
                            <w:t xml:space="preserve"> </w:t>
                          </w:r>
                          <w:r w:rsidR="0014645B">
                            <w:rPr>
                              <w:sz w:val="20"/>
                              <w:szCs w:val="20"/>
                            </w:rPr>
                            <w:t>Renewables</w:t>
                          </w:r>
                          <w:r w:rsidR="00896728">
                            <w:rPr>
                              <w:sz w:val="20"/>
                              <w:szCs w:val="20"/>
                            </w:rPr>
                            <w:t xml:space="preserve"> Design Criteria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C4681B" id="_x0000_t202" coordsize="21600,21600" o:spt="202" path="m,l,21600r21600,l21600,xe">
              <v:stroke joinstyle="miter"/>
              <v:path gradientshapeok="t" o:connecttype="rect"/>
            </v:shapetype>
            <v:shape id="Text Box 2" o:spid="_x0000_s1026" type="#_x0000_t202" style="position:absolute;margin-left:-35.05pt;margin-top:-4.95pt;width:364.4pt;height:45.5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" filled="f" stroked="f" strokeweight=".5pt">
              <v:textbox>
                <w:txbxContent>
                  <w:p w14:paraId="5B0C809A" w14:textId="328F0B4C" w:rsidR="00D8422A" w:rsidRPr="00620972" w:rsidRDefault="00620972" w:rsidP="001C3377">
                    <w:pPr>
                      <w:pStyle w:val="Title"/>
                      <w:jc w:val="left"/>
                      <w:rPr>
                        <w:rFonts w:cs="Calibri"/>
                        <w:b w:val="0"/>
                        <w:bCs w:val="0"/>
                        <w:sz w:val="20"/>
                        <w:szCs w:val="20"/>
                      </w:rPr>
                    </w:pPr>
                    <w:r w:rsidRPr="00620972">
                      <w:rPr>
                        <w:sz w:val="20"/>
                        <w:szCs w:val="20"/>
                      </w:rPr>
                      <w:t xml:space="preserve">Guide Form Specification for Medium Voltage </w:t>
                    </w:r>
                    <w:r w:rsidR="001C3377">
                      <w:rPr>
                        <w:sz w:val="20"/>
                        <w:szCs w:val="20"/>
                      </w:rPr>
                      <w:t>Metal-Enclosed</w:t>
                    </w:r>
                    <w:r w:rsidR="00266F08">
                      <w:rPr>
                        <w:sz w:val="20"/>
                        <w:szCs w:val="20"/>
                      </w:rPr>
                      <w:br/>
                    </w:r>
                    <w:r w:rsidR="001C3377">
                      <w:rPr>
                        <w:sz w:val="20"/>
                        <w:szCs w:val="20"/>
                      </w:rPr>
                      <w:t xml:space="preserve">Automatic </w:t>
                    </w:r>
                    <w:r w:rsidR="00A30178">
                      <w:rPr>
                        <w:sz w:val="20"/>
                        <w:szCs w:val="20"/>
                      </w:rPr>
                      <w:t>Capacitor bank</w:t>
                    </w:r>
                    <w:r w:rsidR="00266F08">
                      <w:rPr>
                        <w:sz w:val="20"/>
                        <w:szCs w:val="20"/>
                      </w:rPr>
                      <w:t xml:space="preserve"> –</w:t>
                    </w:r>
                    <w:r w:rsidR="00896728">
                      <w:rPr>
                        <w:sz w:val="20"/>
                        <w:szCs w:val="20"/>
                      </w:rPr>
                      <w:t xml:space="preserve"> </w:t>
                    </w:r>
                    <w:r w:rsidR="0014645B">
                      <w:rPr>
                        <w:sz w:val="20"/>
                        <w:szCs w:val="20"/>
                      </w:rPr>
                      <w:t>Renewables</w:t>
                    </w:r>
                    <w:r w:rsidR="00896728">
                      <w:rPr>
                        <w:sz w:val="20"/>
                        <w:szCs w:val="20"/>
                      </w:rPr>
                      <w:t xml:space="preserve"> Design Criteria</w:t>
                    </w:r>
                  </w:p>
                </w:txbxContent>
              </v:textbox>
            </v:shape>
          </w:pict>
        </mc:Fallback>
      </mc:AlternateContent>
    </w:r>
    <w:r>
      <w:rPr>
        <w:noProof/>
      </w:rPr>
      <w:drawing>
        <wp:anchor distT="0" distB="0" distL="114300" distR="114300" simplePos="0" relativeHeight="251658245" behindDoc="1" locked="0" layoutInCell="1" allowOverlap="1" wp14:anchorId="7892C551" wp14:editId="181178BC">
          <wp:simplePos x="0" y="0"/>
          <wp:positionH relativeFrom="column">
            <wp:posOffset>4937760</wp:posOffset>
          </wp:positionH>
          <wp:positionV relativeFrom="paragraph">
            <wp:posOffset>-199418</wp:posOffset>
          </wp:positionV>
          <wp:extent cx="1290320" cy="463550"/>
          <wp:effectExtent l="0" t="0" r="5080" b="0"/>
          <wp:wrapNone/>
          <wp:docPr id="1393598223" name="Picture 2" descr="A logo with arrows pointing to the 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34666" name="Picture 2" descr="A logo with arrows pointing to the sid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0320" cy="463550"/>
                  </a:xfrm>
                  <a:prstGeom prst="rect">
                    <a:avLst/>
                  </a:prstGeom>
                </pic:spPr>
              </pic:pic>
            </a:graphicData>
          </a:graphic>
          <wp14:sizeRelH relativeFrom="page">
            <wp14:pctWidth>0</wp14:pctWidth>
          </wp14:sizeRelH>
          <wp14:sizeRelV relativeFrom="page">
            <wp14:pctHeight>0</wp14:pctHeight>
          </wp14:sizeRelV>
        </wp:anchor>
      </w:drawing>
    </w:r>
  </w:p>
  <w:p w14:paraId="31B9EE8D" w14:textId="2DBF1EE8" w:rsidR="00C16E03" w:rsidRDefault="00D8422A">
    <w:pPr>
      <w:pStyle w:val="Header"/>
    </w:pPr>
    <w:r>
      <w:rPr>
        <w:noProof/>
      </w:rPr>
      <mc:AlternateContent>
        <mc:Choice Requires="wps">
          <w:drawing>
            <wp:anchor distT="0" distB="0" distL="114300" distR="114300" simplePos="0" relativeHeight="251658246" behindDoc="0" locked="0" layoutInCell="1" allowOverlap="1" wp14:anchorId="7BF1C6A9" wp14:editId="4BA9C3B7">
              <wp:simplePos x="0" y="0"/>
              <wp:positionH relativeFrom="margin">
                <wp:posOffset>-365760</wp:posOffset>
              </wp:positionH>
              <wp:positionV relativeFrom="paragraph">
                <wp:posOffset>142489</wp:posOffset>
              </wp:positionV>
              <wp:extent cx="6724962" cy="0"/>
              <wp:effectExtent l="0" t="0" r="0" b="0"/>
              <wp:wrapNone/>
              <wp:docPr id="689986508" name="Straight Connector 3"/>
              <wp:cNvGraphicFramePr/>
              <a:graphic xmlns:a="http://schemas.openxmlformats.org/drawingml/2006/main">
                <a:graphicData uri="http://schemas.microsoft.com/office/word/2010/wordprocessingShape">
                  <wps:wsp>
                    <wps:cNvCnPr/>
                    <wps:spPr>
                      <a:xfrm flipV="1">
                        <a:off x="0" y="0"/>
                        <a:ext cx="6724962" cy="0"/>
                      </a:xfrm>
                      <a:prstGeom prst="line">
                        <a:avLst/>
                      </a:prstGeom>
                      <a:ln>
                        <a:solidFill>
                          <a:srgbClr val="EE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D5FF1C" id="Straight Connector 3" o:spid="_x0000_s1026" style="position:absolute;flip:y;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8pt,11.2pt" to="500.7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" strokecolor="#e00" strokeweight="2pt">
              <v:shadow on="t" color="black" opacity="24903f" origin=",.5" offset="0,.55556mm"/>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851EF" w14:textId="61036E81" w:rsidR="00D8422A" w:rsidRDefault="00D8422A">
    <w:pPr>
      <w:pStyle w:val="Header"/>
    </w:pPr>
    <w:r>
      <w:rPr>
        <w:noProof/>
      </w:rPr>
      <mc:AlternateContent>
        <mc:Choice Requires="wps">
          <w:drawing>
            <wp:anchor distT="0" distB="0" distL="114300" distR="114300" simplePos="0" relativeHeight="251658241" behindDoc="0" locked="0" layoutInCell="1" allowOverlap="1" wp14:anchorId="34FDDF21" wp14:editId="2527C29D">
              <wp:simplePos x="0" y="0"/>
              <wp:positionH relativeFrom="column">
                <wp:posOffset>3931948</wp:posOffset>
              </wp:positionH>
              <wp:positionV relativeFrom="paragraph">
                <wp:posOffset>185696</wp:posOffset>
              </wp:positionV>
              <wp:extent cx="2359660" cy="1052195"/>
              <wp:effectExtent l="0" t="0" r="0" b="0"/>
              <wp:wrapNone/>
              <wp:docPr id="1389182216" name="Text Box 6"/>
              <wp:cNvGraphicFramePr/>
              <a:graphic xmlns:a="http://schemas.openxmlformats.org/drawingml/2006/main">
                <a:graphicData uri="http://schemas.microsoft.com/office/word/2010/wordprocessingShape">
                  <wps:wsp>
                    <wps:cNvSpPr txBox="1"/>
                    <wps:spPr>
                      <a:xfrm>
                        <a:off x="0" y="0"/>
                        <a:ext cx="2359660" cy="1052195"/>
                      </a:xfrm>
                      <a:prstGeom prst="rect">
                        <a:avLst/>
                      </a:prstGeom>
                      <a:noFill/>
                      <a:ln w="6350">
                        <a:noFill/>
                      </a:ln>
                    </wps:spPr>
                    <wps:txbx>
                      <w:txbxContent>
                        <w:p w14:paraId="23E7E227" w14:textId="02A616B1" w:rsidR="00D8422A" w:rsidRDefault="00D8422A" w:rsidP="00D8422A">
                          <w:pPr>
                            <w:jc w:val="right"/>
                          </w:pPr>
                          <w:r w:rsidRPr="0047777F">
                            <w:rPr>
                              <w:b/>
                              <w:bCs/>
                              <w:color w:val="0E9ED9"/>
                            </w:rPr>
                            <w:t>VarStec Power Solutions</w:t>
                          </w:r>
                          <w:r w:rsidR="00A37D81">
                            <w:rPr>
                              <w:b/>
                              <w:bCs/>
                              <w:color w:val="0E9ED9"/>
                            </w:rPr>
                            <w:t>, Inc.</w:t>
                          </w:r>
                          <w:r w:rsidR="00620972">
                            <w:t xml:space="preserve"> </w:t>
                          </w:r>
                          <w:r>
                            <w:br/>
                            <w:t>PO Box 942</w:t>
                          </w:r>
                          <w:r>
                            <w:br/>
                            <w:t>Saratoga Springs, NY 12866</w:t>
                          </w:r>
                          <w:r>
                            <w:br/>
                            <w:t>518.369.7589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4FDDF21" id="_x0000_t202" coordsize="21600,21600" o:spt="202" path="m,l,21600r21600,l21600,xe">
              <v:stroke joinstyle="miter"/>
              <v:path gradientshapeok="t" o:connecttype="rect"/>
            </v:shapetype>
            <v:shape id="Text Box 6" o:spid="_x0000_s1029" type="#_x0000_t202" style="position:absolute;margin-left:309.6pt;margin-top:14.6pt;width:185.8pt;height:82.8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" filled="f" stroked="f" strokeweight=".5pt">
              <v:textbox>
                <w:txbxContent>
                  <w:p w14:paraId="23E7E227" w14:textId="02A616B1" w:rsidR="00D8422A" w:rsidRDefault="00D8422A" w:rsidP="00D8422A">
                    <w:pPr>
                      <w:jc w:val="right"/>
                    </w:pPr>
                    <w:r w:rsidRPr="0047777F">
                      <w:rPr>
                        <w:b/>
                        <w:bCs/>
                        <w:color w:val="0E9ED9"/>
                      </w:rPr>
                      <w:t>VarStec Power Solutions</w:t>
                    </w:r>
                    <w:r w:rsidR="00A37D81">
                      <w:rPr>
                        <w:b/>
                        <w:bCs/>
                        <w:color w:val="0E9ED9"/>
                      </w:rPr>
                      <w:t>, Inc.</w:t>
                    </w:r>
                    <w:r w:rsidR="00620972">
                      <w:t xml:space="preserve"> </w:t>
                    </w:r>
                    <w:r>
                      <w:br/>
                      <w:t>PO Box 942</w:t>
                    </w:r>
                    <w:r>
                      <w:br/>
                      <w:t>Saratoga Springs, NY 12866</w:t>
                    </w:r>
                    <w:r>
                      <w:br/>
                      <w:t>518.369.7589</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5820CAF" wp14:editId="51C81E87">
              <wp:simplePos x="0" y="0"/>
              <wp:positionH relativeFrom="margin">
                <wp:posOffset>-460540</wp:posOffset>
              </wp:positionH>
              <wp:positionV relativeFrom="paragraph">
                <wp:posOffset>1008987</wp:posOffset>
              </wp:positionV>
              <wp:extent cx="6694266" cy="0"/>
              <wp:effectExtent l="0" t="0" r="0" b="0"/>
              <wp:wrapNone/>
              <wp:docPr id="1834137950" name="Straight Connector 3"/>
              <wp:cNvGraphicFramePr/>
              <a:graphic xmlns:a="http://schemas.openxmlformats.org/drawingml/2006/main">
                <a:graphicData uri="http://schemas.microsoft.com/office/word/2010/wordprocessingShape">
                  <wps:wsp>
                    <wps:cNvCnPr/>
                    <wps:spPr>
                      <a:xfrm flipV="1">
                        <a:off x="0" y="0"/>
                        <a:ext cx="6694266" cy="0"/>
                      </a:xfrm>
                      <a:prstGeom prst="line">
                        <a:avLst/>
                      </a:prstGeom>
                      <a:ln>
                        <a:solidFill>
                          <a:srgbClr val="EE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85E4E8" id="Straight Connector 3" o:spid="_x0000_s1026"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6.25pt,79.45pt" to="490.85pt,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" strokecolor="#e00" strokeweight="2pt">
              <v:shadow on="t" color="black" opacity="24903f" origin=",.5" offset="0,.55556mm"/>
              <w10:wrap anchorx="margin"/>
            </v:line>
          </w:pict>
        </mc:Fallback>
      </mc:AlternateContent>
    </w:r>
    <w:r>
      <w:rPr>
        <w:noProof/>
      </w:rPr>
      <w:drawing>
        <wp:anchor distT="0" distB="0" distL="114300" distR="114300" simplePos="0" relativeHeight="251658242" behindDoc="1" locked="0" layoutInCell="1" allowOverlap="1" wp14:anchorId="589B0EEF" wp14:editId="721FCD03">
          <wp:simplePos x="0" y="0"/>
          <wp:positionH relativeFrom="column">
            <wp:posOffset>-782734</wp:posOffset>
          </wp:positionH>
          <wp:positionV relativeFrom="paragraph">
            <wp:posOffset>-140776</wp:posOffset>
          </wp:positionV>
          <wp:extent cx="2825750" cy="1014730"/>
          <wp:effectExtent l="0" t="0" r="0" b="0"/>
          <wp:wrapNone/>
          <wp:docPr id="1906082220" name="Picture 2" descr="A logo with arrows pointing to the 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34666" name="Picture 2" descr="A logo with arrows pointing to the sid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825750" cy="10147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4AA3"/>
    <w:multiLevelType w:val="multilevel"/>
    <w:tmpl w:val="3C40B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716B2"/>
    <w:multiLevelType w:val="multilevel"/>
    <w:tmpl w:val="BDBA011C"/>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2" w15:restartNumberingAfterBreak="0">
    <w:nsid w:val="13B717C6"/>
    <w:multiLevelType w:val="multilevel"/>
    <w:tmpl w:val="9C588A34"/>
    <w:lvl w:ilvl="0">
      <w:start w:val="1"/>
      <w:numFmt w:val="bullet"/>
      <w:lvlText w:val=""/>
      <w:lvlJc w:val="left"/>
      <w:pPr>
        <w:tabs>
          <w:tab w:val="num" w:pos="4320"/>
        </w:tabs>
        <w:ind w:left="4320" w:hanging="360"/>
      </w:pPr>
      <w:rPr>
        <w:rFonts w:ascii="Symbol" w:hAnsi="Symbol" w:hint="default"/>
        <w:sz w:val="20"/>
      </w:rPr>
    </w:lvl>
    <w:lvl w:ilvl="1" w:tentative="1">
      <w:start w:val="1"/>
      <w:numFmt w:val="bullet"/>
      <w:lvlText w:val="o"/>
      <w:lvlJc w:val="left"/>
      <w:pPr>
        <w:tabs>
          <w:tab w:val="num" w:pos="5040"/>
        </w:tabs>
        <w:ind w:left="5040" w:hanging="360"/>
      </w:pPr>
      <w:rPr>
        <w:rFonts w:ascii="Courier New" w:hAnsi="Courier New" w:hint="default"/>
        <w:sz w:val="20"/>
      </w:rPr>
    </w:lvl>
    <w:lvl w:ilvl="2" w:tentative="1">
      <w:start w:val="1"/>
      <w:numFmt w:val="bullet"/>
      <w:lvlText w:val=""/>
      <w:lvlJc w:val="left"/>
      <w:pPr>
        <w:tabs>
          <w:tab w:val="num" w:pos="5760"/>
        </w:tabs>
        <w:ind w:left="5760" w:hanging="360"/>
      </w:pPr>
      <w:rPr>
        <w:rFonts w:ascii="Wingdings" w:hAnsi="Wingdings" w:hint="default"/>
        <w:sz w:val="20"/>
      </w:rPr>
    </w:lvl>
    <w:lvl w:ilvl="3" w:tentative="1">
      <w:start w:val="1"/>
      <w:numFmt w:val="bullet"/>
      <w:lvlText w:val=""/>
      <w:lvlJc w:val="left"/>
      <w:pPr>
        <w:tabs>
          <w:tab w:val="num" w:pos="6480"/>
        </w:tabs>
        <w:ind w:left="6480" w:hanging="360"/>
      </w:pPr>
      <w:rPr>
        <w:rFonts w:ascii="Wingdings" w:hAnsi="Wingdings" w:hint="default"/>
        <w:sz w:val="20"/>
      </w:rPr>
    </w:lvl>
    <w:lvl w:ilvl="4" w:tentative="1">
      <w:start w:val="1"/>
      <w:numFmt w:val="bullet"/>
      <w:lvlText w:val=""/>
      <w:lvlJc w:val="left"/>
      <w:pPr>
        <w:tabs>
          <w:tab w:val="num" w:pos="7200"/>
        </w:tabs>
        <w:ind w:left="7200" w:hanging="360"/>
      </w:pPr>
      <w:rPr>
        <w:rFonts w:ascii="Wingdings" w:hAnsi="Wingdings" w:hint="default"/>
        <w:sz w:val="20"/>
      </w:rPr>
    </w:lvl>
    <w:lvl w:ilvl="5" w:tentative="1">
      <w:start w:val="1"/>
      <w:numFmt w:val="bullet"/>
      <w:lvlText w:val=""/>
      <w:lvlJc w:val="left"/>
      <w:pPr>
        <w:tabs>
          <w:tab w:val="num" w:pos="7920"/>
        </w:tabs>
        <w:ind w:left="7920" w:hanging="360"/>
      </w:pPr>
      <w:rPr>
        <w:rFonts w:ascii="Wingdings" w:hAnsi="Wingdings" w:hint="default"/>
        <w:sz w:val="20"/>
      </w:rPr>
    </w:lvl>
    <w:lvl w:ilvl="6" w:tentative="1">
      <w:start w:val="1"/>
      <w:numFmt w:val="bullet"/>
      <w:lvlText w:val=""/>
      <w:lvlJc w:val="left"/>
      <w:pPr>
        <w:tabs>
          <w:tab w:val="num" w:pos="8640"/>
        </w:tabs>
        <w:ind w:left="8640" w:hanging="360"/>
      </w:pPr>
      <w:rPr>
        <w:rFonts w:ascii="Wingdings" w:hAnsi="Wingdings" w:hint="default"/>
        <w:sz w:val="20"/>
      </w:rPr>
    </w:lvl>
    <w:lvl w:ilvl="7" w:tentative="1">
      <w:start w:val="1"/>
      <w:numFmt w:val="bullet"/>
      <w:lvlText w:val=""/>
      <w:lvlJc w:val="left"/>
      <w:pPr>
        <w:tabs>
          <w:tab w:val="num" w:pos="9360"/>
        </w:tabs>
        <w:ind w:left="9360" w:hanging="360"/>
      </w:pPr>
      <w:rPr>
        <w:rFonts w:ascii="Wingdings" w:hAnsi="Wingdings" w:hint="default"/>
        <w:sz w:val="20"/>
      </w:rPr>
    </w:lvl>
    <w:lvl w:ilvl="8" w:tentative="1">
      <w:start w:val="1"/>
      <w:numFmt w:val="bullet"/>
      <w:lvlText w:val=""/>
      <w:lvlJc w:val="left"/>
      <w:pPr>
        <w:tabs>
          <w:tab w:val="num" w:pos="10080"/>
        </w:tabs>
        <w:ind w:left="10080" w:hanging="360"/>
      </w:pPr>
      <w:rPr>
        <w:rFonts w:ascii="Wingdings" w:hAnsi="Wingdings" w:hint="default"/>
        <w:sz w:val="20"/>
      </w:rPr>
    </w:lvl>
  </w:abstractNum>
  <w:abstractNum w:abstractNumId="3" w15:restartNumberingAfterBreak="0">
    <w:nsid w:val="167C5A31"/>
    <w:multiLevelType w:val="multilevel"/>
    <w:tmpl w:val="367EFC66"/>
    <w:lvl w:ilvl="0">
      <w:start w:val="1"/>
      <w:numFmt w:val="decimal"/>
      <w:pStyle w:val="Leveltop"/>
      <w:lvlText w:val="PART %1"/>
      <w:lvlJc w:val="left"/>
      <w:pPr>
        <w:tabs>
          <w:tab w:val="num" w:pos="1620"/>
        </w:tabs>
        <w:ind w:left="1620" w:hanging="1080"/>
      </w:pPr>
      <w:rPr>
        <w:rFonts w:ascii="Arial" w:hAnsi="Arial" w:hint="default"/>
        <w:b w:val="0"/>
        <w:i w:val="0"/>
        <w:sz w:val="22"/>
      </w:rPr>
    </w:lvl>
    <w:lvl w:ilvl="1">
      <w:start w:val="1"/>
      <w:numFmt w:val="decimalZero"/>
      <w:pStyle w:val="Level1"/>
      <w:lvlText w:val="%1.%2"/>
      <w:lvlJc w:val="left"/>
      <w:pPr>
        <w:tabs>
          <w:tab w:val="num" w:pos="720"/>
        </w:tabs>
        <w:ind w:left="720" w:hanging="720"/>
      </w:pPr>
      <w:rPr>
        <w:rFonts w:hint="default"/>
      </w:rPr>
    </w:lvl>
    <w:lvl w:ilvl="2">
      <w:start w:val="1"/>
      <w:numFmt w:val="upperLetter"/>
      <w:pStyle w:val="Level2"/>
      <w:lvlText w:val="%3."/>
      <w:lvlJc w:val="left"/>
      <w:pPr>
        <w:tabs>
          <w:tab w:val="num" w:pos="1080"/>
        </w:tabs>
        <w:ind w:left="1080" w:hanging="360"/>
      </w:pPr>
      <w:rPr>
        <w:rFonts w:hint="default"/>
      </w:rPr>
    </w:lvl>
    <w:lvl w:ilvl="3">
      <w:start w:val="1"/>
      <w:numFmt w:val="decimal"/>
      <w:pStyle w:val="Level3"/>
      <w:lvlText w:val="%4."/>
      <w:lvlJc w:val="right"/>
      <w:pPr>
        <w:tabs>
          <w:tab w:val="num" w:pos="1440"/>
        </w:tabs>
        <w:ind w:left="1440" w:hanging="144"/>
      </w:pPr>
      <w:rPr>
        <w:rFonts w:hint="default"/>
      </w:rPr>
    </w:lvl>
    <w:lvl w:ilvl="4">
      <w:start w:val="1"/>
      <w:numFmt w:val="lowerLetter"/>
      <w:pStyle w:val="Level4"/>
      <w:lvlText w:val="%5."/>
      <w:lvlJc w:val="left"/>
      <w:pPr>
        <w:tabs>
          <w:tab w:val="num" w:pos="1800"/>
        </w:tabs>
        <w:ind w:left="1800" w:hanging="360"/>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5"/>
      <w:lvlText w:val="%6."/>
      <w:lvlJc w:val="right"/>
      <w:pPr>
        <w:tabs>
          <w:tab w:val="num" w:pos="2160"/>
        </w:tabs>
        <w:ind w:left="2160" w:hanging="144"/>
      </w:pPr>
      <w:rPr>
        <w:rFonts w:hint="default"/>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3240"/>
        </w:tabs>
        <w:ind w:left="2880" w:hanging="360"/>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19463E83"/>
    <w:multiLevelType w:val="multilevel"/>
    <w:tmpl w:val="D09ED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CA6DFD"/>
    <w:multiLevelType w:val="multilevel"/>
    <w:tmpl w:val="9418D2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7F177A"/>
    <w:multiLevelType w:val="multilevel"/>
    <w:tmpl w:val="C9BE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15155E"/>
    <w:multiLevelType w:val="multilevel"/>
    <w:tmpl w:val="C610D2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564EFE"/>
    <w:multiLevelType w:val="multilevel"/>
    <w:tmpl w:val="47005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8A7903"/>
    <w:multiLevelType w:val="hybridMultilevel"/>
    <w:tmpl w:val="E24E60A4"/>
    <w:lvl w:ilvl="0" w:tplc="440265D4">
      <w:start w:val="1"/>
      <w:numFmt w:val="bullet"/>
      <w:pStyle w:val="11Head-Bullet"/>
      <w:lvlText w:val=""/>
      <w:lvlJc w:val="left"/>
      <w:pPr>
        <w:ind w:left="450" w:hanging="360"/>
      </w:pPr>
      <w:rPr>
        <w:rFonts w:ascii="Symbol" w:hAnsi="Symbol" w:cs="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15:restartNumberingAfterBreak="0">
    <w:nsid w:val="50E768C7"/>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1" w15:restartNumberingAfterBreak="0">
    <w:nsid w:val="582E2693"/>
    <w:multiLevelType w:val="multilevel"/>
    <w:tmpl w:val="BEC058BA"/>
    <w:lvl w:ilvl="0">
      <w:start w:val="1"/>
      <w:numFmt w:val="decimal"/>
      <w:pStyle w:val="Heading1"/>
      <w:lvlText w:val="%1"/>
      <w:lvlJc w:val="left"/>
      <w:pPr>
        <w:tabs>
          <w:tab w:val="num" w:pos="432"/>
        </w:tabs>
        <w:ind w:left="432" w:hanging="432"/>
      </w:pPr>
      <w:rPr>
        <w:color w:val="121212"/>
      </w:rPr>
    </w:lvl>
    <w:lvl w:ilvl="1">
      <w:start w:val="1"/>
      <w:numFmt w:val="decimal"/>
      <w:pStyle w:val="Heading2"/>
      <w:lvlText w:val="%1.%2"/>
      <w:lvlJc w:val="left"/>
      <w:pPr>
        <w:tabs>
          <w:tab w:val="num" w:pos="1476"/>
        </w:tabs>
        <w:ind w:left="1476" w:hanging="576"/>
      </w:pPr>
      <w:rPr>
        <w:b w:val="0"/>
        <w:bCs/>
        <w:color w:val="auto"/>
      </w:rPr>
    </w:lvl>
    <w:lvl w:ilvl="2">
      <w:start w:val="1"/>
      <w:numFmt w:val="decimal"/>
      <w:pStyle w:val="Heading3"/>
      <w:lvlText w:val="%1.%2.%3"/>
      <w:lvlJc w:val="left"/>
      <w:pPr>
        <w:tabs>
          <w:tab w:val="num" w:pos="720"/>
        </w:tabs>
        <w:ind w:left="720" w:hanging="720"/>
      </w:pPr>
      <w:rPr>
        <w:b w:val="0"/>
        <w:bCs w:val="0"/>
        <w:sz w:val="20"/>
        <w:szCs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2" w15:restartNumberingAfterBreak="0">
    <w:nsid w:val="60D8002E"/>
    <w:multiLevelType w:val="multilevel"/>
    <w:tmpl w:val="29B2E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DD34F0"/>
    <w:multiLevelType w:val="multilevel"/>
    <w:tmpl w:val="381CE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6518F7"/>
    <w:multiLevelType w:val="multilevel"/>
    <w:tmpl w:val="CD8AA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4B1442"/>
    <w:multiLevelType w:val="multilevel"/>
    <w:tmpl w:val="CB5C4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8542392">
    <w:abstractNumId w:val="11"/>
  </w:num>
  <w:num w:numId="2" w16cid:durableId="1705984210">
    <w:abstractNumId w:val="10"/>
  </w:num>
  <w:num w:numId="3" w16cid:durableId="189268165">
    <w:abstractNumId w:val="3"/>
  </w:num>
  <w:num w:numId="4" w16cid:durableId="1162508475">
    <w:abstractNumId w:val="2"/>
  </w:num>
  <w:num w:numId="5" w16cid:durableId="2115243984">
    <w:abstractNumId w:val="9"/>
  </w:num>
  <w:num w:numId="6" w16cid:durableId="1999380697">
    <w:abstractNumId w:val="1"/>
  </w:num>
  <w:num w:numId="7" w16cid:durableId="439302941">
    <w:abstractNumId w:val="4"/>
  </w:num>
  <w:num w:numId="8" w16cid:durableId="1476919309">
    <w:abstractNumId w:val="0"/>
  </w:num>
  <w:num w:numId="9" w16cid:durableId="430400256">
    <w:abstractNumId w:val="5"/>
  </w:num>
  <w:num w:numId="10" w16cid:durableId="649791325">
    <w:abstractNumId w:val="13"/>
  </w:num>
  <w:num w:numId="11" w16cid:durableId="2120180904">
    <w:abstractNumId w:val="14"/>
  </w:num>
  <w:num w:numId="12" w16cid:durableId="1927496005">
    <w:abstractNumId w:val="7"/>
  </w:num>
  <w:num w:numId="13" w16cid:durableId="1326084835">
    <w:abstractNumId w:val="8"/>
  </w:num>
  <w:num w:numId="14" w16cid:durableId="146897620">
    <w:abstractNumId w:val="6"/>
  </w:num>
  <w:num w:numId="15" w16cid:durableId="878317376">
    <w:abstractNumId w:val="15"/>
  </w:num>
  <w:num w:numId="16" w16cid:durableId="1870143149">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DC3MDUxsTCzsDA3M7RU0lEKTi0uzszPAykwqgUAqCfHbywAAAA="/>
  </w:docVars>
  <w:rsids>
    <w:rsidRoot w:val="00D8422A"/>
    <w:rsid w:val="0000242B"/>
    <w:rsid w:val="00002591"/>
    <w:rsid w:val="00005E07"/>
    <w:rsid w:val="0000648B"/>
    <w:rsid w:val="000071F5"/>
    <w:rsid w:val="00011D8C"/>
    <w:rsid w:val="000207D0"/>
    <w:rsid w:val="00020800"/>
    <w:rsid w:val="00026574"/>
    <w:rsid w:val="00036EB9"/>
    <w:rsid w:val="000377FE"/>
    <w:rsid w:val="000456E8"/>
    <w:rsid w:val="000459A0"/>
    <w:rsid w:val="0004623E"/>
    <w:rsid w:val="000639FA"/>
    <w:rsid w:val="00073F8D"/>
    <w:rsid w:val="000767D9"/>
    <w:rsid w:val="00077538"/>
    <w:rsid w:val="00080057"/>
    <w:rsid w:val="00082E03"/>
    <w:rsid w:val="00085444"/>
    <w:rsid w:val="00087922"/>
    <w:rsid w:val="00087CD7"/>
    <w:rsid w:val="00093232"/>
    <w:rsid w:val="000A57EF"/>
    <w:rsid w:val="000A618C"/>
    <w:rsid w:val="000A6454"/>
    <w:rsid w:val="000A7582"/>
    <w:rsid w:val="000A7DB6"/>
    <w:rsid w:val="000B2F59"/>
    <w:rsid w:val="000B759B"/>
    <w:rsid w:val="000C58A1"/>
    <w:rsid w:val="000C7333"/>
    <w:rsid w:val="000E3130"/>
    <w:rsid w:val="000F3299"/>
    <w:rsid w:val="000F36A3"/>
    <w:rsid w:val="000F3964"/>
    <w:rsid w:val="000F4A50"/>
    <w:rsid w:val="001044CF"/>
    <w:rsid w:val="001128E8"/>
    <w:rsid w:val="00114FD1"/>
    <w:rsid w:val="00124995"/>
    <w:rsid w:val="0012742D"/>
    <w:rsid w:val="001374F5"/>
    <w:rsid w:val="001431B6"/>
    <w:rsid w:val="00143362"/>
    <w:rsid w:val="00143FD0"/>
    <w:rsid w:val="0014645B"/>
    <w:rsid w:val="00151FDE"/>
    <w:rsid w:val="0015310B"/>
    <w:rsid w:val="00154D47"/>
    <w:rsid w:val="00154DC8"/>
    <w:rsid w:val="001629D7"/>
    <w:rsid w:val="00162FBE"/>
    <w:rsid w:val="00167361"/>
    <w:rsid w:val="00171C26"/>
    <w:rsid w:val="001751E5"/>
    <w:rsid w:val="001753B4"/>
    <w:rsid w:val="001755B1"/>
    <w:rsid w:val="00175C3D"/>
    <w:rsid w:val="0017712E"/>
    <w:rsid w:val="00180C55"/>
    <w:rsid w:val="0018356D"/>
    <w:rsid w:val="0018446B"/>
    <w:rsid w:val="00193D99"/>
    <w:rsid w:val="001A40C7"/>
    <w:rsid w:val="001A7580"/>
    <w:rsid w:val="001C019C"/>
    <w:rsid w:val="001C2E71"/>
    <w:rsid w:val="001C3377"/>
    <w:rsid w:val="001C6011"/>
    <w:rsid w:val="001C6132"/>
    <w:rsid w:val="001C7BFC"/>
    <w:rsid w:val="001D0D0D"/>
    <w:rsid w:val="001D7995"/>
    <w:rsid w:val="001E59E8"/>
    <w:rsid w:val="001F28EE"/>
    <w:rsid w:val="001F666E"/>
    <w:rsid w:val="00206FE1"/>
    <w:rsid w:val="0022431E"/>
    <w:rsid w:val="00233904"/>
    <w:rsid w:val="00236CF3"/>
    <w:rsid w:val="0024096B"/>
    <w:rsid w:val="00246F68"/>
    <w:rsid w:val="00252374"/>
    <w:rsid w:val="00254D75"/>
    <w:rsid w:val="002561B6"/>
    <w:rsid w:val="00265A6A"/>
    <w:rsid w:val="00266F08"/>
    <w:rsid w:val="002755B2"/>
    <w:rsid w:val="0028131A"/>
    <w:rsid w:val="0028335E"/>
    <w:rsid w:val="00285EC0"/>
    <w:rsid w:val="00287E24"/>
    <w:rsid w:val="002928AA"/>
    <w:rsid w:val="0029672D"/>
    <w:rsid w:val="00296F2B"/>
    <w:rsid w:val="002B1EED"/>
    <w:rsid w:val="002C0BE4"/>
    <w:rsid w:val="002C1F8A"/>
    <w:rsid w:val="002C4AA0"/>
    <w:rsid w:val="002C7ABE"/>
    <w:rsid w:val="002D30D8"/>
    <w:rsid w:val="002D69DF"/>
    <w:rsid w:val="002E039F"/>
    <w:rsid w:val="002E0ED2"/>
    <w:rsid w:val="002F0DEB"/>
    <w:rsid w:val="003002B3"/>
    <w:rsid w:val="0031069B"/>
    <w:rsid w:val="00313BC3"/>
    <w:rsid w:val="0032425B"/>
    <w:rsid w:val="003320C9"/>
    <w:rsid w:val="00334BD9"/>
    <w:rsid w:val="0033606A"/>
    <w:rsid w:val="00336A18"/>
    <w:rsid w:val="003418A2"/>
    <w:rsid w:val="003419B8"/>
    <w:rsid w:val="00341E2F"/>
    <w:rsid w:val="00342089"/>
    <w:rsid w:val="003440DB"/>
    <w:rsid w:val="00351061"/>
    <w:rsid w:val="00353DC9"/>
    <w:rsid w:val="00356A09"/>
    <w:rsid w:val="00357262"/>
    <w:rsid w:val="0035793B"/>
    <w:rsid w:val="003628BD"/>
    <w:rsid w:val="00365DAA"/>
    <w:rsid w:val="003714C6"/>
    <w:rsid w:val="00371E15"/>
    <w:rsid w:val="00377C56"/>
    <w:rsid w:val="0038790E"/>
    <w:rsid w:val="00391CF5"/>
    <w:rsid w:val="00395420"/>
    <w:rsid w:val="003A0B88"/>
    <w:rsid w:val="003B37BF"/>
    <w:rsid w:val="003B48CC"/>
    <w:rsid w:val="003B5144"/>
    <w:rsid w:val="003C599D"/>
    <w:rsid w:val="003C7A00"/>
    <w:rsid w:val="003D0A90"/>
    <w:rsid w:val="003D2531"/>
    <w:rsid w:val="003D5111"/>
    <w:rsid w:val="003E00CD"/>
    <w:rsid w:val="003E710B"/>
    <w:rsid w:val="003F0AED"/>
    <w:rsid w:val="00403668"/>
    <w:rsid w:val="00411C92"/>
    <w:rsid w:val="0041495E"/>
    <w:rsid w:val="00414DF6"/>
    <w:rsid w:val="004156D2"/>
    <w:rsid w:val="0042140A"/>
    <w:rsid w:val="00425723"/>
    <w:rsid w:val="00426E84"/>
    <w:rsid w:val="00427312"/>
    <w:rsid w:val="00433401"/>
    <w:rsid w:val="00435880"/>
    <w:rsid w:val="004365AD"/>
    <w:rsid w:val="00437989"/>
    <w:rsid w:val="00441C46"/>
    <w:rsid w:val="00444DBB"/>
    <w:rsid w:val="00445825"/>
    <w:rsid w:val="00450635"/>
    <w:rsid w:val="00452E57"/>
    <w:rsid w:val="00453838"/>
    <w:rsid w:val="004543D8"/>
    <w:rsid w:val="00455594"/>
    <w:rsid w:val="00465498"/>
    <w:rsid w:val="00476E4E"/>
    <w:rsid w:val="00483C38"/>
    <w:rsid w:val="004875B9"/>
    <w:rsid w:val="0049044D"/>
    <w:rsid w:val="0049552B"/>
    <w:rsid w:val="004A0AEE"/>
    <w:rsid w:val="004A3EFF"/>
    <w:rsid w:val="004A407A"/>
    <w:rsid w:val="004A52F4"/>
    <w:rsid w:val="004A59E3"/>
    <w:rsid w:val="004B2DA5"/>
    <w:rsid w:val="004C52C6"/>
    <w:rsid w:val="004D0E4D"/>
    <w:rsid w:val="004D1410"/>
    <w:rsid w:val="004F3A78"/>
    <w:rsid w:val="004F44CF"/>
    <w:rsid w:val="00501C9D"/>
    <w:rsid w:val="00502C43"/>
    <w:rsid w:val="0050582E"/>
    <w:rsid w:val="00505BB8"/>
    <w:rsid w:val="00510113"/>
    <w:rsid w:val="00520897"/>
    <w:rsid w:val="0052099C"/>
    <w:rsid w:val="005257F8"/>
    <w:rsid w:val="0052718E"/>
    <w:rsid w:val="005315A6"/>
    <w:rsid w:val="005319F9"/>
    <w:rsid w:val="00536D18"/>
    <w:rsid w:val="005448D3"/>
    <w:rsid w:val="00552EDB"/>
    <w:rsid w:val="005552CF"/>
    <w:rsid w:val="00557DFB"/>
    <w:rsid w:val="0056240C"/>
    <w:rsid w:val="00567BF9"/>
    <w:rsid w:val="0057369C"/>
    <w:rsid w:val="00574685"/>
    <w:rsid w:val="00576F81"/>
    <w:rsid w:val="005770A4"/>
    <w:rsid w:val="005804FE"/>
    <w:rsid w:val="00586F84"/>
    <w:rsid w:val="00587E1C"/>
    <w:rsid w:val="00591356"/>
    <w:rsid w:val="00592298"/>
    <w:rsid w:val="005923EE"/>
    <w:rsid w:val="00592B32"/>
    <w:rsid w:val="005A2072"/>
    <w:rsid w:val="005A5A31"/>
    <w:rsid w:val="005B13FB"/>
    <w:rsid w:val="005B19F2"/>
    <w:rsid w:val="005B4F6A"/>
    <w:rsid w:val="005C6D5F"/>
    <w:rsid w:val="005C7300"/>
    <w:rsid w:val="005D5B2F"/>
    <w:rsid w:val="005D5BC2"/>
    <w:rsid w:val="005D7D08"/>
    <w:rsid w:val="005E3092"/>
    <w:rsid w:val="005F01EF"/>
    <w:rsid w:val="005F619C"/>
    <w:rsid w:val="00600F6A"/>
    <w:rsid w:val="00601B1D"/>
    <w:rsid w:val="0061400A"/>
    <w:rsid w:val="006165F2"/>
    <w:rsid w:val="00620972"/>
    <w:rsid w:val="006223E5"/>
    <w:rsid w:val="0062324D"/>
    <w:rsid w:val="00623502"/>
    <w:rsid w:val="00630F75"/>
    <w:rsid w:val="00631C0D"/>
    <w:rsid w:val="0063520B"/>
    <w:rsid w:val="00635776"/>
    <w:rsid w:val="00643D17"/>
    <w:rsid w:val="006449E9"/>
    <w:rsid w:val="006463AD"/>
    <w:rsid w:val="0064666E"/>
    <w:rsid w:val="00647ACB"/>
    <w:rsid w:val="00651275"/>
    <w:rsid w:val="006555D5"/>
    <w:rsid w:val="006562FE"/>
    <w:rsid w:val="00661235"/>
    <w:rsid w:val="00665477"/>
    <w:rsid w:val="00667DF9"/>
    <w:rsid w:val="00667E6F"/>
    <w:rsid w:val="00671444"/>
    <w:rsid w:val="006765D9"/>
    <w:rsid w:val="00680485"/>
    <w:rsid w:val="00683E3B"/>
    <w:rsid w:val="006842FB"/>
    <w:rsid w:val="00684927"/>
    <w:rsid w:val="00687530"/>
    <w:rsid w:val="00692145"/>
    <w:rsid w:val="006A4420"/>
    <w:rsid w:val="006A7F2C"/>
    <w:rsid w:val="006B2E51"/>
    <w:rsid w:val="006B541C"/>
    <w:rsid w:val="006B7D74"/>
    <w:rsid w:val="006C3C24"/>
    <w:rsid w:val="006C58FB"/>
    <w:rsid w:val="006D31FF"/>
    <w:rsid w:val="006D47D4"/>
    <w:rsid w:val="006D4C89"/>
    <w:rsid w:val="006D551E"/>
    <w:rsid w:val="006E0774"/>
    <w:rsid w:val="006E0F36"/>
    <w:rsid w:val="006E40EB"/>
    <w:rsid w:val="006E5DC4"/>
    <w:rsid w:val="006E7CCA"/>
    <w:rsid w:val="006F2EEC"/>
    <w:rsid w:val="006F4374"/>
    <w:rsid w:val="00701FB6"/>
    <w:rsid w:val="007028C8"/>
    <w:rsid w:val="00705340"/>
    <w:rsid w:val="007132FA"/>
    <w:rsid w:val="00714725"/>
    <w:rsid w:val="007171A8"/>
    <w:rsid w:val="007177F5"/>
    <w:rsid w:val="00721977"/>
    <w:rsid w:val="00723ADE"/>
    <w:rsid w:val="0072668F"/>
    <w:rsid w:val="007303F5"/>
    <w:rsid w:val="00730E55"/>
    <w:rsid w:val="007337BE"/>
    <w:rsid w:val="0074111E"/>
    <w:rsid w:val="0074237E"/>
    <w:rsid w:val="00750A6B"/>
    <w:rsid w:val="00751250"/>
    <w:rsid w:val="007623E3"/>
    <w:rsid w:val="0076574C"/>
    <w:rsid w:val="007704E7"/>
    <w:rsid w:val="00772C16"/>
    <w:rsid w:val="00773042"/>
    <w:rsid w:val="00774464"/>
    <w:rsid w:val="00774FF6"/>
    <w:rsid w:val="00776DB8"/>
    <w:rsid w:val="00777525"/>
    <w:rsid w:val="007817BA"/>
    <w:rsid w:val="007824C8"/>
    <w:rsid w:val="007832F1"/>
    <w:rsid w:val="00783603"/>
    <w:rsid w:val="00783687"/>
    <w:rsid w:val="0078468A"/>
    <w:rsid w:val="00786EDE"/>
    <w:rsid w:val="007874A1"/>
    <w:rsid w:val="007917AE"/>
    <w:rsid w:val="007A0AFF"/>
    <w:rsid w:val="007A1604"/>
    <w:rsid w:val="007A5369"/>
    <w:rsid w:val="007A65B4"/>
    <w:rsid w:val="007A7325"/>
    <w:rsid w:val="007B37A1"/>
    <w:rsid w:val="007B3C88"/>
    <w:rsid w:val="007B4A35"/>
    <w:rsid w:val="007B772C"/>
    <w:rsid w:val="007C2151"/>
    <w:rsid w:val="007C7D52"/>
    <w:rsid w:val="007D2C95"/>
    <w:rsid w:val="007D45C1"/>
    <w:rsid w:val="007D53A7"/>
    <w:rsid w:val="007E67D6"/>
    <w:rsid w:val="007E6A49"/>
    <w:rsid w:val="007F2B77"/>
    <w:rsid w:val="007F3DD2"/>
    <w:rsid w:val="007F509E"/>
    <w:rsid w:val="007F52A5"/>
    <w:rsid w:val="007F5DA2"/>
    <w:rsid w:val="00801BCB"/>
    <w:rsid w:val="008031A3"/>
    <w:rsid w:val="00815BAF"/>
    <w:rsid w:val="00815BFC"/>
    <w:rsid w:val="00820BE3"/>
    <w:rsid w:val="008252EC"/>
    <w:rsid w:val="00825D11"/>
    <w:rsid w:val="0083141D"/>
    <w:rsid w:val="00831F6E"/>
    <w:rsid w:val="00833635"/>
    <w:rsid w:val="00833BF4"/>
    <w:rsid w:val="00843ACF"/>
    <w:rsid w:val="008454CE"/>
    <w:rsid w:val="008461C5"/>
    <w:rsid w:val="00854618"/>
    <w:rsid w:val="00856A34"/>
    <w:rsid w:val="0085742B"/>
    <w:rsid w:val="00862F20"/>
    <w:rsid w:val="00863ECC"/>
    <w:rsid w:val="008649A3"/>
    <w:rsid w:val="008656CC"/>
    <w:rsid w:val="00866A41"/>
    <w:rsid w:val="00870987"/>
    <w:rsid w:val="008722B0"/>
    <w:rsid w:val="00876FA4"/>
    <w:rsid w:val="0089201C"/>
    <w:rsid w:val="0089354C"/>
    <w:rsid w:val="00894A23"/>
    <w:rsid w:val="00896728"/>
    <w:rsid w:val="008A16E7"/>
    <w:rsid w:val="008A4183"/>
    <w:rsid w:val="008A4CBD"/>
    <w:rsid w:val="008B0B97"/>
    <w:rsid w:val="008B0DD0"/>
    <w:rsid w:val="008B2C24"/>
    <w:rsid w:val="008C1A9B"/>
    <w:rsid w:val="008C5597"/>
    <w:rsid w:val="008C5849"/>
    <w:rsid w:val="008C63A9"/>
    <w:rsid w:val="008D17D9"/>
    <w:rsid w:val="008D4334"/>
    <w:rsid w:val="008E783E"/>
    <w:rsid w:val="008F4AD0"/>
    <w:rsid w:val="008F4F0C"/>
    <w:rsid w:val="008F5892"/>
    <w:rsid w:val="008F7CBE"/>
    <w:rsid w:val="00901A56"/>
    <w:rsid w:val="00901FA6"/>
    <w:rsid w:val="009125B1"/>
    <w:rsid w:val="0091742F"/>
    <w:rsid w:val="009218EE"/>
    <w:rsid w:val="00922FBC"/>
    <w:rsid w:val="00923846"/>
    <w:rsid w:val="0092399B"/>
    <w:rsid w:val="00927268"/>
    <w:rsid w:val="00927EE4"/>
    <w:rsid w:val="00941FA7"/>
    <w:rsid w:val="009423B6"/>
    <w:rsid w:val="0094276B"/>
    <w:rsid w:val="0094677E"/>
    <w:rsid w:val="009479E3"/>
    <w:rsid w:val="00950477"/>
    <w:rsid w:val="00950EC2"/>
    <w:rsid w:val="00955B28"/>
    <w:rsid w:val="00964BDF"/>
    <w:rsid w:val="00971CF1"/>
    <w:rsid w:val="00973996"/>
    <w:rsid w:val="00975B32"/>
    <w:rsid w:val="0098365C"/>
    <w:rsid w:val="009837B7"/>
    <w:rsid w:val="009859A4"/>
    <w:rsid w:val="009875AF"/>
    <w:rsid w:val="00992068"/>
    <w:rsid w:val="0099539C"/>
    <w:rsid w:val="009A0FF1"/>
    <w:rsid w:val="009A1E4B"/>
    <w:rsid w:val="009A1EF7"/>
    <w:rsid w:val="009B5CA3"/>
    <w:rsid w:val="009B67D2"/>
    <w:rsid w:val="009C1B5D"/>
    <w:rsid w:val="009C2E77"/>
    <w:rsid w:val="009C4228"/>
    <w:rsid w:val="009C4618"/>
    <w:rsid w:val="009D2E2C"/>
    <w:rsid w:val="009D2FDE"/>
    <w:rsid w:val="009D3861"/>
    <w:rsid w:val="009D3E87"/>
    <w:rsid w:val="009D4DA6"/>
    <w:rsid w:val="009E080A"/>
    <w:rsid w:val="009E38B2"/>
    <w:rsid w:val="009F496E"/>
    <w:rsid w:val="009F51F6"/>
    <w:rsid w:val="009F6EA7"/>
    <w:rsid w:val="009F7D37"/>
    <w:rsid w:val="00A073EE"/>
    <w:rsid w:val="00A11A26"/>
    <w:rsid w:val="00A1283C"/>
    <w:rsid w:val="00A14E70"/>
    <w:rsid w:val="00A163DC"/>
    <w:rsid w:val="00A16E17"/>
    <w:rsid w:val="00A1766E"/>
    <w:rsid w:val="00A214B6"/>
    <w:rsid w:val="00A30178"/>
    <w:rsid w:val="00A333DA"/>
    <w:rsid w:val="00A3347A"/>
    <w:rsid w:val="00A372C7"/>
    <w:rsid w:val="00A374C7"/>
    <w:rsid w:val="00A37D81"/>
    <w:rsid w:val="00A4232B"/>
    <w:rsid w:val="00A4569E"/>
    <w:rsid w:val="00A46C44"/>
    <w:rsid w:val="00A52564"/>
    <w:rsid w:val="00A52C0E"/>
    <w:rsid w:val="00A55061"/>
    <w:rsid w:val="00A6302B"/>
    <w:rsid w:val="00A66679"/>
    <w:rsid w:val="00A710C5"/>
    <w:rsid w:val="00A72372"/>
    <w:rsid w:val="00A77E2F"/>
    <w:rsid w:val="00A83393"/>
    <w:rsid w:val="00A845C8"/>
    <w:rsid w:val="00A903E2"/>
    <w:rsid w:val="00A925F8"/>
    <w:rsid w:val="00A92988"/>
    <w:rsid w:val="00A93936"/>
    <w:rsid w:val="00A93C5C"/>
    <w:rsid w:val="00AA4DE3"/>
    <w:rsid w:val="00AA6C11"/>
    <w:rsid w:val="00AA7189"/>
    <w:rsid w:val="00AB075D"/>
    <w:rsid w:val="00AB154B"/>
    <w:rsid w:val="00AB604D"/>
    <w:rsid w:val="00AB6F18"/>
    <w:rsid w:val="00AC2077"/>
    <w:rsid w:val="00AC30B1"/>
    <w:rsid w:val="00AC4028"/>
    <w:rsid w:val="00AC55CE"/>
    <w:rsid w:val="00AD0653"/>
    <w:rsid w:val="00AD40D4"/>
    <w:rsid w:val="00AD5BFF"/>
    <w:rsid w:val="00AE2EA9"/>
    <w:rsid w:val="00AE7493"/>
    <w:rsid w:val="00AF0C78"/>
    <w:rsid w:val="00AF26DC"/>
    <w:rsid w:val="00AF3AD9"/>
    <w:rsid w:val="00AF5CDD"/>
    <w:rsid w:val="00AF5EBE"/>
    <w:rsid w:val="00AF77CE"/>
    <w:rsid w:val="00AF79DF"/>
    <w:rsid w:val="00B00DE4"/>
    <w:rsid w:val="00B03E8B"/>
    <w:rsid w:val="00B1654E"/>
    <w:rsid w:val="00B16FAD"/>
    <w:rsid w:val="00B23DB7"/>
    <w:rsid w:val="00B26974"/>
    <w:rsid w:val="00B40492"/>
    <w:rsid w:val="00B47CFB"/>
    <w:rsid w:val="00B53E63"/>
    <w:rsid w:val="00B5664D"/>
    <w:rsid w:val="00B56D6A"/>
    <w:rsid w:val="00B57BDA"/>
    <w:rsid w:val="00B611B6"/>
    <w:rsid w:val="00B61DDE"/>
    <w:rsid w:val="00B632C2"/>
    <w:rsid w:val="00B721DB"/>
    <w:rsid w:val="00B724E5"/>
    <w:rsid w:val="00B759DD"/>
    <w:rsid w:val="00B824C7"/>
    <w:rsid w:val="00B824DD"/>
    <w:rsid w:val="00B82984"/>
    <w:rsid w:val="00B84000"/>
    <w:rsid w:val="00B84767"/>
    <w:rsid w:val="00B91B0A"/>
    <w:rsid w:val="00B93BE6"/>
    <w:rsid w:val="00B93BF5"/>
    <w:rsid w:val="00B9421F"/>
    <w:rsid w:val="00BA469A"/>
    <w:rsid w:val="00BA6340"/>
    <w:rsid w:val="00BB09E4"/>
    <w:rsid w:val="00BC372B"/>
    <w:rsid w:val="00BC61F2"/>
    <w:rsid w:val="00BD588C"/>
    <w:rsid w:val="00BD5D04"/>
    <w:rsid w:val="00BE268C"/>
    <w:rsid w:val="00BF12F6"/>
    <w:rsid w:val="00BF355C"/>
    <w:rsid w:val="00BF5425"/>
    <w:rsid w:val="00BF742F"/>
    <w:rsid w:val="00C002FC"/>
    <w:rsid w:val="00C00C2C"/>
    <w:rsid w:val="00C01E6B"/>
    <w:rsid w:val="00C039AC"/>
    <w:rsid w:val="00C16E03"/>
    <w:rsid w:val="00C21C88"/>
    <w:rsid w:val="00C27D10"/>
    <w:rsid w:val="00C3060A"/>
    <w:rsid w:val="00C33725"/>
    <w:rsid w:val="00C347F0"/>
    <w:rsid w:val="00C374AB"/>
    <w:rsid w:val="00C43763"/>
    <w:rsid w:val="00C43ACC"/>
    <w:rsid w:val="00C47168"/>
    <w:rsid w:val="00C47C62"/>
    <w:rsid w:val="00C5331D"/>
    <w:rsid w:val="00C539BD"/>
    <w:rsid w:val="00C53C36"/>
    <w:rsid w:val="00C609BA"/>
    <w:rsid w:val="00C66FDC"/>
    <w:rsid w:val="00C71B62"/>
    <w:rsid w:val="00C81C58"/>
    <w:rsid w:val="00C8580E"/>
    <w:rsid w:val="00C90329"/>
    <w:rsid w:val="00CA1785"/>
    <w:rsid w:val="00CA3A50"/>
    <w:rsid w:val="00CB16DB"/>
    <w:rsid w:val="00CB2001"/>
    <w:rsid w:val="00CB52A0"/>
    <w:rsid w:val="00CC46F3"/>
    <w:rsid w:val="00CC5ED2"/>
    <w:rsid w:val="00CC68E1"/>
    <w:rsid w:val="00CD5AA8"/>
    <w:rsid w:val="00CE00E3"/>
    <w:rsid w:val="00CF1604"/>
    <w:rsid w:val="00CF36E4"/>
    <w:rsid w:val="00CF5C1E"/>
    <w:rsid w:val="00D02B06"/>
    <w:rsid w:val="00D05CD9"/>
    <w:rsid w:val="00D14A9F"/>
    <w:rsid w:val="00D1615B"/>
    <w:rsid w:val="00D20CEE"/>
    <w:rsid w:val="00D213C5"/>
    <w:rsid w:val="00D25814"/>
    <w:rsid w:val="00D26F05"/>
    <w:rsid w:val="00D3277B"/>
    <w:rsid w:val="00D35331"/>
    <w:rsid w:val="00D35EDD"/>
    <w:rsid w:val="00D366C3"/>
    <w:rsid w:val="00D4051D"/>
    <w:rsid w:val="00D409A7"/>
    <w:rsid w:val="00D41DBB"/>
    <w:rsid w:val="00D43B1D"/>
    <w:rsid w:val="00D50270"/>
    <w:rsid w:val="00D53D26"/>
    <w:rsid w:val="00D60172"/>
    <w:rsid w:val="00D6069A"/>
    <w:rsid w:val="00D63848"/>
    <w:rsid w:val="00D70FFF"/>
    <w:rsid w:val="00D71FE2"/>
    <w:rsid w:val="00D72165"/>
    <w:rsid w:val="00D8422A"/>
    <w:rsid w:val="00D95725"/>
    <w:rsid w:val="00D95C07"/>
    <w:rsid w:val="00DA63F4"/>
    <w:rsid w:val="00DB129B"/>
    <w:rsid w:val="00DC0009"/>
    <w:rsid w:val="00DC09C6"/>
    <w:rsid w:val="00DC3E00"/>
    <w:rsid w:val="00DC44FE"/>
    <w:rsid w:val="00DC5F66"/>
    <w:rsid w:val="00DC6A85"/>
    <w:rsid w:val="00DC6D05"/>
    <w:rsid w:val="00DD0EC7"/>
    <w:rsid w:val="00DD28DC"/>
    <w:rsid w:val="00DD63A4"/>
    <w:rsid w:val="00DF37C0"/>
    <w:rsid w:val="00DF5994"/>
    <w:rsid w:val="00E01FB3"/>
    <w:rsid w:val="00E11110"/>
    <w:rsid w:val="00E115BE"/>
    <w:rsid w:val="00E168B5"/>
    <w:rsid w:val="00E20A5A"/>
    <w:rsid w:val="00E21308"/>
    <w:rsid w:val="00E244FF"/>
    <w:rsid w:val="00E25629"/>
    <w:rsid w:val="00E26D23"/>
    <w:rsid w:val="00E30275"/>
    <w:rsid w:val="00E30E21"/>
    <w:rsid w:val="00E312BA"/>
    <w:rsid w:val="00E34052"/>
    <w:rsid w:val="00E35184"/>
    <w:rsid w:val="00E51295"/>
    <w:rsid w:val="00E54891"/>
    <w:rsid w:val="00E54F9A"/>
    <w:rsid w:val="00E55136"/>
    <w:rsid w:val="00E6244B"/>
    <w:rsid w:val="00E62B8A"/>
    <w:rsid w:val="00E63D8B"/>
    <w:rsid w:val="00E6794A"/>
    <w:rsid w:val="00E82589"/>
    <w:rsid w:val="00E82E1A"/>
    <w:rsid w:val="00E83D72"/>
    <w:rsid w:val="00E9193E"/>
    <w:rsid w:val="00E94B2D"/>
    <w:rsid w:val="00E97803"/>
    <w:rsid w:val="00EA1B99"/>
    <w:rsid w:val="00EA3548"/>
    <w:rsid w:val="00EB125D"/>
    <w:rsid w:val="00EB6445"/>
    <w:rsid w:val="00EC1765"/>
    <w:rsid w:val="00EC420F"/>
    <w:rsid w:val="00EC47A0"/>
    <w:rsid w:val="00EC4A72"/>
    <w:rsid w:val="00EC4E8B"/>
    <w:rsid w:val="00EC57E4"/>
    <w:rsid w:val="00ED7394"/>
    <w:rsid w:val="00EE2CA0"/>
    <w:rsid w:val="00EE415A"/>
    <w:rsid w:val="00EF078E"/>
    <w:rsid w:val="00EF25CF"/>
    <w:rsid w:val="00EF3CF2"/>
    <w:rsid w:val="00F027D8"/>
    <w:rsid w:val="00F11F61"/>
    <w:rsid w:val="00F12E05"/>
    <w:rsid w:val="00F13DD8"/>
    <w:rsid w:val="00F2124C"/>
    <w:rsid w:val="00F3051E"/>
    <w:rsid w:val="00F3488F"/>
    <w:rsid w:val="00F44DC4"/>
    <w:rsid w:val="00F459C3"/>
    <w:rsid w:val="00F4644E"/>
    <w:rsid w:val="00F5022F"/>
    <w:rsid w:val="00F558D7"/>
    <w:rsid w:val="00F64188"/>
    <w:rsid w:val="00F663DE"/>
    <w:rsid w:val="00F668D6"/>
    <w:rsid w:val="00F66EAC"/>
    <w:rsid w:val="00F723AC"/>
    <w:rsid w:val="00F74055"/>
    <w:rsid w:val="00F76025"/>
    <w:rsid w:val="00F76CD8"/>
    <w:rsid w:val="00F84973"/>
    <w:rsid w:val="00F86FAC"/>
    <w:rsid w:val="00F87938"/>
    <w:rsid w:val="00F905DA"/>
    <w:rsid w:val="00F93152"/>
    <w:rsid w:val="00F935F1"/>
    <w:rsid w:val="00F959B6"/>
    <w:rsid w:val="00F97C29"/>
    <w:rsid w:val="00F97D50"/>
    <w:rsid w:val="00FA47E4"/>
    <w:rsid w:val="00FB1526"/>
    <w:rsid w:val="00FB155E"/>
    <w:rsid w:val="00FC1491"/>
    <w:rsid w:val="00FC4BF0"/>
    <w:rsid w:val="00FD0F91"/>
    <w:rsid w:val="00FD19FC"/>
    <w:rsid w:val="00FD4F93"/>
    <w:rsid w:val="00FD5E5E"/>
    <w:rsid w:val="00FD61DB"/>
    <w:rsid w:val="00FD6CA7"/>
    <w:rsid w:val="00FF183E"/>
    <w:rsid w:val="00FF351C"/>
    <w:rsid w:val="00FF7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BECD07D"/>
  <w15:docId w15:val="{4EE97215-B60E-426B-B330-6599B832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7E6F"/>
    <w:rPr>
      <w:sz w:val="24"/>
      <w:szCs w:val="24"/>
    </w:rPr>
  </w:style>
  <w:style w:type="paragraph" w:styleId="Heading1">
    <w:name w:val="heading 1"/>
    <w:basedOn w:val="Normal"/>
    <w:next w:val="Normal"/>
    <w:qFormat/>
    <w:rsid w:val="009D4DA6"/>
    <w:pPr>
      <w:widowControl w:val="0"/>
      <w:numPr>
        <w:numId w:val="1"/>
      </w:numPr>
      <w:tabs>
        <w:tab w:val="clear" w:pos="432"/>
        <w:tab w:val="num" w:pos="90"/>
      </w:tabs>
      <w:spacing w:before="240" w:after="60"/>
      <w:ind w:left="90" w:right="540" w:hanging="360"/>
      <w:outlineLvl w:val="0"/>
    </w:pPr>
    <w:rPr>
      <w:rFonts w:ascii="Arial" w:hAnsi="Arial" w:cs="Arial"/>
      <w:b/>
      <w:bCs/>
      <w:kern w:val="28"/>
      <w:sz w:val="28"/>
      <w:szCs w:val="28"/>
    </w:rPr>
  </w:style>
  <w:style w:type="paragraph" w:styleId="Heading2">
    <w:name w:val="heading 2"/>
    <w:basedOn w:val="Normal"/>
    <w:next w:val="Normal"/>
    <w:link w:val="Heading2Char"/>
    <w:qFormat/>
    <w:rsid w:val="005C7300"/>
    <w:pPr>
      <w:widowControl w:val="0"/>
      <w:numPr>
        <w:ilvl w:val="1"/>
        <w:numId w:val="1"/>
      </w:numPr>
      <w:tabs>
        <w:tab w:val="clear" w:pos="1476"/>
        <w:tab w:val="num" w:pos="180"/>
      </w:tabs>
      <w:spacing w:before="240" w:after="60"/>
      <w:ind w:left="180" w:right="540" w:hanging="450"/>
      <w:outlineLvl w:val="1"/>
    </w:pPr>
    <w:rPr>
      <w:rFonts w:ascii="Aptos" w:hAnsi="Aptos" w:cs="Arial"/>
      <w:iCs/>
      <w:color w:val="121212"/>
      <w:sz w:val="20"/>
      <w:szCs w:val="20"/>
    </w:rPr>
  </w:style>
  <w:style w:type="paragraph" w:styleId="Heading3">
    <w:name w:val="heading 3"/>
    <w:basedOn w:val="Normal"/>
    <w:next w:val="Normal"/>
    <w:qFormat/>
    <w:rsid w:val="00FB1526"/>
    <w:pPr>
      <w:keepNext/>
      <w:numPr>
        <w:ilvl w:val="2"/>
        <w:numId w:val="1"/>
      </w:numPr>
      <w:spacing w:before="240" w:after="60"/>
      <w:outlineLvl w:val="2"/>
    </w:pPr>
    <w:rPr>
      <w:rFonts w:ascii="Aptos" w:hAnsi="Aptos" w:cs="Arial"/>
      <w:sz w:val="20"/>
      <w:szCs w:val="20"/>
    </w:rPr>
  </w:style>
  <w:style w:type="paragraph" w:styleId="Heading4">
    <w:name w:val="heading 4"/>
    <w:basedOn w:val="Normal"/>
    <w:next w:val="Normal"/>
    <w:qFormat/>
    <w:pPr>
      <w:keepNext/>
      <w:numPr>
        <w:ilvl w:val="3"/>
        <w:numId w:val="1"/>
      </w:numPr>
      <w:spacing w:before="240" w:after="60"/>
      <w:outlineLvl w:val="3"/>
    </w:pPr>
    <w:rPr>
      <w:rFonts w:ascii="Arial" w:hAnsi="Arial" w:cs="Arial"/>
      <w:b/>
      <w:bCs/>
    </w:rPr>
  </w:style>
  <w:style w:type="paragraph" w:styleId="Heading5">
    <w:name w:val="heading 5"/>
    <w:basedOn w:val="Normal"/>
    <w:next w:val="Normal"/>
    <w:qFormat/>
    <w:pPr>
      <w:numPr>
        <w:ilvl w:val="4"/>
        <w:numId w:val="1"/>
      </w:numPr>
      <w:spacing w:before="240" w:after="60"/>
      <w:outlineLvl w:val="4"/>
    </w:pPr>
    <w:rPr>
      <w:sz w:val="22"/>
      <w:szCs w:val="22"/>
    </w:rPr>
  </w:style>
  <w:style w:type="paragraph" w:styleId="Heading6">
    <w:name w:val="heading 6"/>
    <w:basedOn w:val="Normal"/>
    <w:next w:val="Normal"/>
    <w:qFormat/>
    <w:pPr>
      <w:numPr>
        <w:ilvl w:val="5"/>
        <w:numId w:val="1"/>
      </w:numPr>
      <w:spacing w:before="240" w:after="60"/>
      <w:outlineLvl w:val="5"/>
    </w:pPr>
    <w:rPr>
      <w:i/>
      <w:iCs/>
      <w:sz w:val="22"/>
      <w:szCs w:val="22"/>
    </w:rPr>
  </w:style>
  <w:style w:type="paragraph" w:styleId="Heading7">
    <w:name w:val="heading 7"/>
    <w:basedOn w:val="Normal"/>
    <w:next w:val="Normal"/>
    <w:qFormat/>
    <w:pPr>
      <w:numPr>
        <w:ilvl w:val="6"/>
        <w:numId w:val="1"/>
      </w:numPr>
      <w:spacing w:before="240" w:after="60"/>
      <w:outlineLvl w:val="6"/>
    </w:pPr>
    <w:rPr>
      <w:rFonts w:ascii="Arial" w:hAnsi="Arial" w:cs="Arial"/>
      <w:sz w:val="20"/>
      <w:szCs w:val="20"/>
    </w:rPr>
  </w:style>
  <w:style w:type="paragraph" w:styleId="Heading8">
    <w:name w:val="heading 8"/>
    <w:basedOn w:val="Normal"/>
    <w:next w:val="Normal"/>
    <w:qFormat/>
    <w:pPr>
      <w:numPr>
        <w:ilvl w:val="7"/>
        <w:numId w:val="1"/>
      </w:numPr>
      <w:spacing w:before="240" w:after="60"/>
      <w:outlineLvl w:val="7"/>
    </w:pPr>
    <w:rPr>
      <w:rFonts w:ascii="Arial" w:hAnsi="Arial" w:cs="Arial"/>
      <w:i/>
      <w:iCs/>
      <w:sz w:val="20"/>
      <w:szCs w:val="20"/>
    </w:rPr>
  </w:style>
  <w:style w:type="paragraph" w:styleId="Heading9">
    <w:name w:val="heading 9"/>
    <w:basedOn w:val="Normal"/>
    <w:next w:val="Normal"/>
    <w:qFormat/>
    <w:pPr>
      <w:numPr>
        <w:ilvl w:val="8"/>
        <w:numId w:val="1"/>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style>
  <w:style w:type="paragraph" w:styleId="BodyText">
    <w:name w:val="Body Text"/>
    <w:basedOn w:val="Normal"/>
    <w:pPr>
      <w:jc w:val="center"/>
    </w:pPr>
    <w:rPr>
      <w:b/>
      <w:bCs/>
      <w:sz w:val="28"/>
      <w:szCs w:val="28"/>
    </w:rPr>
  </w:style>
  <w:style w:type="paragraph" w:styleId="BodyTextIndent">
    <w:name w:val="Body Text Indent"/>
    <w:basedOn w:val="Normal"/>
    <w:pPr>
      <w:ind w:left="540"/>
    </w:pPr>
    <w:rPr>
      <w:rFonts w:ascii="Arial" w:hAnsi="Arial" w:cs="Arial"/>
      <w:sz w:val="2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Arial" w:hAnsi="Arial" w:cs="Arial"/>
    </w:rPr>
  </w:style>
  <w:style w:type="table" w:styleId="TableGrid">
    <w:name w:val="Table Grid"/>
    <w:basedOn w:val="TableNormal"/>
    <w:rsid w:val="002C4AA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ank">
    <w:name w:val="Blank"/>
    <w:basedOn w:val="Normal"/>
    <w:autoRedefine/>
    <w:rsid w:val="0072668F"/>
    <w:pPr>
      <w:suppressAutoHyphens/>
      <w:ind w:left="1170"/>
    </w:pPr>
    <w:rPr>
      <w:rFonts w:ascii="Arial" w:hAnsi="Arial" w:cs="Arial"/>
      <w:sz w:val="20"/>
      <w:szCs w:val="20"/>
    </w:rPr>
  </w:style>
  <w:style w:type="character" w:styleId="Hyperlink">
    <w:name w:val="Hyperlink"/>
    <w:unhideWhenUsed/>
    <w:rsid w:val="00BB09E4"/>
    <w:rPr>
      <w:color w:val="0000FF"/>
      <w:u w:val="single"/>
    </w:rPr>
  </w:style>
  <w:style w:type="paragraph" w:styleId="BodyText2">
    <w:name w:val="Body Text 2"/>
    <w:basedOn w:val="Normal"/>
    <w:link w:val="BodyText2Char"/>
    <w:rsid w:val="00866A41"/>
    <w:pPr>
      <w:spacing w:after="120" w:line="480" w:lineRule="auto"/>
    </w:pPr>
  </w:style>
  <w:style w:type="character" w:customStyle="1" w:styleId="BodyText2Char">
    <w:name w:val="Body Text 2 Char"/>
    <w:link w:val="BodyText2"/>
    <w:rsid w:val="00866A41"/>
    <w:rPr>
      <w:sz w:val="24"/>
      <w:szCs w:val="24"/>
    </w:rPr>
  </w:style>
  <w:style w:type="paragraph" w:customStyle="1" w:styleId="Leveltop">
    <w:name w:val="Level (top)"/>
    <w:rsid w:val="00002591"/>
    <w:pPr>
      <w:numPr>
        <w:numId w:val="3"/>
      </w:numPr>
      <w:spacing w:before="520" w:line="260" w:lineRule="exact"/>
    </w:pPr>
    <w:rPr>
      <w:rFonts w:ascii="Arial" w:hAnsi="Arial"/>
      <w:caps/>
      <w:sz w:val="22"/>
    </w:rPr>
  </w:style>
  <w:style w:type="paragraph" w:customStyle="1" w:styleId="Level1">
    <w:name w:val="Level 1"/>
    <w:rsid w:val="00002591"/>
    <w:pPr>
      <w:numPr>
        <w:ilvl w:val="1"/>
        <w:numId w:val="3"/>
      </w:numPr>
      <w:spacing w:before="260" w:line="260" w:lineRule="exact"/>
    </w:pPr>
    <w:rPr>
      <w:rFonts w:ascii="Arial" w:hAnsi="Arial"/>
      <w:caps/>
      <w:sz w:val="22"/>
    </w:rPr>
  </w:style>
  <w:style w:type="paragraph" w:customStyle="1" w:styleId="Level2">
    <w:name w:val="Level 2"/>
    <w:rsid w:val="00002591"/>
    <w:pPr>
      <w:numPr>
        <w:ilvl w:val="2"/>
        <w:numId w:val="3"/>
      </w:numPr>
      <w:tabs>
        <w:tab w:val="left" w:pos="720"/>
      </w:tabs>
      <w:spacing w:before="120" w:line="260" w:lineRule="exact"/>
    </w:pPr>
    <w:rPr>
      <w:rFonts w:ascii="Arial" w:hAnsi="Arial"/>
      <w:sz w:val="22"/>
    </w:rPr>
  </w:style>
  <w:style w:type="paragraph" w:customStyle="1" w:styleId="Level3">
    <w:name w:val="Level 3"/>
    <w:rsid w:val="00002591"/>
    <w:pPr>
      <w:numPr>
        <w:ilvl w:val="3"/>
        <w:numId w:val="3"/>
      </w:numPr>
      <w:tabs>
        <w:tab w:val="right" w:pos="1260"/>
      </w:tabs>
      <w:spacing w:before="80" w:line="260" w:lineRule="exact"/>
    </w:pPr>
    <w:rPr>
      <w:rFonts w:ascii="Arial" w:hAnsi="Arial"/>
      <w:sz w:val="22"/>
    </w:rPr>
  </w:style>
  <w:style w:type="paragraph" w:customStyle="1" w:styleId="Level4">
    <w:name w:val="Level 4"/>
    <w:rsid w:val="00002591"/>
    <w:pPr>
      <w:numPr>
        <w:ilvl w:val="4"/>
        <w:numId w:val="3"/>
      </w:numPr>
      <w:tabs>
        <w:tab w:val="left" w:pos="1440"/>
      </w:tabs>
      <w:spacing w:before="40" w:line="260" w:lineRule="exact"/>
    </w:pPr>
    <w:rPr>
      <w:rFonts w:ascii="Arial" w:hAnsi="Arial"/>
      <w:sz w:val="22"/>
    </w:rPr>
  </w:style>
  <w:style w:type="paragraph" w:customStyle="1" w:styleId="Level5">
    <w:name w:val="Level 5"/>
    <w:basedOn w:val="Level4"/>
    <w:rsid w:val="00002591"/>
    <w:pPr>
      <w:numPr>
        <w:ilvl w:val="5"/>
      </w:numPr>
      <w:tabs>
        <w:tab w:val="clear" w:pos="1440"/>
      </w:tabs>
    </w:pPr>
  </w:style>
  <w:style w:type="paragraph" w:styleId="BalloonText">
    <w:name w:val="Balloon Text"/>
    <w:basedOn w:val="Normal"/>
    <w:link w:val="BalloonTextChar"/>
    <w:rsid w:val="00574685"/>
    <w:rPr>
      <w:rFonts w:ascii="Tahoma" w:hAnsi="Tahoma" w:cs="Tahoma"/>
      <w:sz w:val="16"/>
      <w:szCs w:val="16"/>
    </w:rPr>
  </w:style>
  <w:style w:type="character" w:customStyle="1" w:styleId="BalloonTextChar">
    <w:name w:val="Balloon Text Char"/>
    <w:basedOn w:val="DefaultParagraphFont"/>
    <w:link w:val="BalloonText"/>
    <w:rsid w:val="00574685"/>
    <w:rPr>
      <w:rFonts w:ascii="Tahoma" w:hAnsi="Tahoma" w:cs="Tahoma"/>
      <w:sz w:val="16"/>
      <w:szCs w:val="16"/>
    </w:rPr>
  </w:style>
  <w:style w:type="paragraph" w:styleId="Title">
    <w:name w:val="Title"/>
    <w:basedOn w:val="Normal"/>
    <w:next w:val="Normal"/>
    <w:link w:val="TitleChar"/>
    <w:qFormat/>
    <w:rsid w:val="008461C5"/>
    <w:pPr>
      <w:contextualSpacing/>
      <w:jc w:val="center"/>
    </w:pPr>
    <w:rPr>
      <w:rFonts w:ascii="Aptos" w:eastAsiaTheme="majorEastAsia" w:hAnsi="Aptos" w:cstheme="majorBidi"/>
      <w:b/>
      <w:bCs/>
      <w:color w:val="121212"/>
      <w:spacing w:val="-10"/>
      <w:kern w:val="28"/>
      <w:sz w:val="36"/>
      <w:szCs w:val="36"/>
    </w:rPr>
  </w:style>
  <w:style w:type="character" w:customStyle="1" w:styleId="TitleChar">
    <w:name w:val="Title Char"/>
    <w:basedOn w:val="DefaultParagraphFont"/>
    <w:link w:val="Title"/>
    <w:rsid w:val="008461C5"/>
    <w:rPr>
      <w:rFonts w:ascii="Aptos" w:eastAsiaTheme="majorEastAsia" w:hAnsi="Aptos" w:cstheme="majorBidi"/>
      <w:b/>
      <w:bCs/>
      <w:color w:val="121212"/>
      <w:spacing w:val="-10"/>
      <w:kern w:val="28"/>
      <w:sz w:val="36"/>
      <w:szCs w:val="36"/>
    </w:rPr>
  </w:style>
  <w:style w:type="paragraph" w:styleId="IntenseQuote">
    <w:name w:val="Intense Quote"/>
    <w:basedOn w:val="Normal"/>
    <w:next w:val="Normal"/>
    <w:link w:val="IntenseQuoteChar"/>
    <w:uiPriority w:val="30"/>
    <w:rsid w:val="008461C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461C5"/>
    <w:rPr>
      <w:i/>
      <w:iCs/>
      <w:color w:val="4F81BD" w:themeColor="accent1"/>
      <w:sz w:val="24"/>
      <w:szCs w:val="24"/>
    </w:rPr>
  </w:style>
  <w:style w:type="character" w:styleId="IntenseEmphasis">
    <w:name w:val="Intense Emphasis"/>
    <w:basedOn w:val="IntenseQuoteChar"/>
    <w:uiPriority w:val="21"/>
    <w:rsid w:val="008461C5"/>
    <w:rPr>
      <w:i/>
      <w:iCs/>
      <w:color w:val="4F81BD" w:themeColor="accent1"/>
      <w:sz w:val="24"/>
      <w:szCs w:val="24"/>
    </w:rPr>
  </w:style>
  <w:style w:type="paragraph" w:customStyle="1" w:styleId="SubHeading">
    <w:name w:val="SubHeading"/>
    <w:basedOn w:val="Title"/>
    <w:link w:val="SubHeadingChar"/>
    <w:qFormat/>
    <w:rsid w:val="002C7ABE"/>
    <w:rPr>
      <w:b w:val="0"/>
      <w:bCs w:val="0"/>
      <w:sz w:val="28"/>
    </w:rPr>
  </w:style>
  <w:style w:type="character" w:customStyle="1" w:styleId="SubHeadingChar">
    <w:name w:val="SubHeading Char"/>
    <w:basedOn w:val="TitleChar"/>
    <w:link w:val="SubHeading"/>
    <w:rsid w:val="002C7ABE"/>
    <w:rPr>
      <w:rFonts w:ascii="Aptos" w:eastAsiaTheme="majorEastAsia" w:hAnsi="Aptos" w:cstheme="majorBidi"/>
      <w:b w:val="0"/>
      <w:bCs w:val="0"/>
      <w:color w:val="121212"/>
      <w:spacing w:val="-10"/>
      <w:kern w:val="28"/>
      <w:sz w:val="28"/>
      <w:szCs w:val="36"/>
    </w:rPr>
  </w:style>
  <w:style w:type="character" w:styleId="SubtleEmphasis">
    <w:name w:val="Subtle Emphasis"/>
    <w:basedOn w:val="SubHeadingChar"/>
    <w:uiPriority w:val="19"/>
    <w:qFormat/>
    <w:rsid w:val="008461C5"/>
    <w:rPr>
      <w:rFonts w:ascii="Aptos" w:eastAsiaTheme="majorEastAsia" w:hAnsi="Aptos" w:cstheme="majorBidi"/>
      <w:b w:val="0"/>
      <w:bCs w:val="0"/>
      <w:color w:val="121212"/>
      <w:spacing w:val="-10"/>
      <w:kern w:val="28"/>
      <w:sz w:val="28"/>
      <w:szCs w:val="28"/>
    </w:rPr>
  </w:style>
  <w:style w:type="paragraph" w:styleId="ListParagraph">
    <w:name w:val="List Paragraph"/>
    <w:basedOn w:val="Normal"/>
    <w:uiPriority w:val="34"/>
    <w:qFormat/>
    <w:rsid w:val="0042140A"/>
    <w:pPr>
      <w:ind w:left="720"/>
      <w:contextualSpacing/>
    </w:pPr>
  </w:style>
  <w:style w:type="paragraph" w:styleId="NormalWeb">
    <w:name w:val="Normal (Web)"/>
    <w:basedOn w:val="Normal"/>
    <w:uiPriority w:val="99"/>
    <w:unhideWhenUsed/>
    <w:rsid w:val="006E7CCA"/>
    <w:pPr>
      <w:spacing w:before="100" w:beforeAutospacing="1" w:after="100" w:afterAutospacing="1"/>
    </w:pPr>
  </w:style>
  <w:style w:type="paragraph" w:customStyle="1" w:styleId="11Head-Bullet">
    <w:name w:val="1.1 Head-Bullet"/>
    <w:basedOn w:val="BodyText"/>
    <w:link w:val="11Head-BulletChar"/>
    <w:qFormat/>
    <w:rsid w:val="00AA4DE3"/>
    <w:pPr>
      <w:numPr>
        <w:numId w:val="5"/>
      </w:numPr>
      <w:jc w:val="left"/>
    </w:pPr>
    <w:rPr>
      <w:rFonts w:ascii="Aptos" w:hAnsi="Aptos"/>
      <w:b w:val="0"/>
      <w:bCs w:val="0"/>
      <w:sz w:val="20"/>
      <w:szCs w:val="20"/>
    </w:rPr>
  </w:style>
  <w:style w:type="character" w:customStyle="1" w:styleId="Heading2Char">
    <w:name w:val="Heading 2 Char"/>
    <w:basedOn w:val="DefaultParagraphFont"/>
    <w:link w:val="Heading2"/>
    <w:rsid w:val="005C7300"/>
    <w:rPr>
      <w:rFonts w:ascii="Aptos" w:hAnsi="Aptos" w:cs="Arial"/>
      <w:iCs/>
      <w:color w:val="121212"/>
    </w:rPr>
  </w:style>
  <w:style w:type="character" w:customStyle="1" w:styleId="11Head-BulletChar">
    <w:name w:val="1.1 Head-Bullet Char"/>
    <w:basedOn w:val="Heading2Char"/>
    <w:link w:val="11Head-Bullet"/>
    <w:rsid w:val="00AA4DE3"/>
    <w:rPr>
      <w:rFonts w:ascii="Aptos" w:hAnsi="Aptos" w:cs="Arial"/>
      <w:iCs w:val="0"/>
      <w:color w:val="121212"/>
    </w:rPr>
  </w:style>
  <w:style w:type="character" w:styleId="UnresolvedMention">
    <w:name w:val="Unresolved Mention"/>
    <w:basedOn w:val="DefaultParagraphFont"/>
    <w:uiPriority w:val="99"/>
    <w:semiHidden/>
    <w:unhideWhenUsed/>
    <w:rsid w:val="000F36A3"/>
    <w:rPr>
      <w:color w:val="605E5C"/>
      <w:shd w:val="clear" w:color="auto" w:fill="E1DFDD"/>
    </w:rPr>
  </w:style>
  <w:style w:type="character" w:styleId="Strong">
    <w:name w:val="Strong"/>
    <w:basedOn w:val="DefaultParagraphFont"/>
    <w:uiPriority w:val="22"/>
    <w:qFormat/>
    <w:rsid w:val="003418A2"/>
    <w:rPr>
      <w:b/>
      <w:bCs/>
    </w:rPr>
  </w:style>
  <w:style w:type="character" w:customStyle="1" w:styleId="citation-334">
    <w:name w:val="citation-334"/>
    <w:basedOn w:val="DefaultParagraphFont"/>
    <w:rsid w:val="006E0774"/>
  </w:style>
  <w:style w:type="character" w:customStyle="1" w:styleId="citation-333">
    <w:name w:val="citation-333"/>
    <w:basedOn w:val="DefaultParagraphFont"/>
    <w:rsid w:val="006E0774"/>
  </w:style>
  <w:style w:type="character" w:customStyle="1" w:styleId="citation-332">
    <w:name w:val="citation-332"/>
    <w:basedOn w:val="DefaultParagraphFont"/>
    <w:rsid w:val="006E0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804867">
      <w:bodyDiv w:val="1"/>
      <w:marLeft w:val="0"/>
      <w:marRight w:val="0"/>
      <w:marTop w:val="0"/>
      <w:marBottom w:val="0"/>
      <w:divBdr>
        <w:top w:val="none" w:sz="0" w:space="0" w:color="auto"/>
        <w:left w:val="none" w:sz="0" w:space="0" w:color="auto"/>
        <w:bottom w:val="none" w:sz="0" w:space="0" w:color="auto"/>
        <w:right w:val="none" w:sz="0" w:space="0" w:color="auto"/>
      </w:divBdr>
    </w:div>
    <w:div w:id="206741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Info@VarStec.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s\OneDrive\Documents\Custom%20Office%20Templates\Guide%20Form%20Specifica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39AD2BD9EF5744A93D330800BBA098" ma:contentTypeVersion="12" ma:contentTypeDescription="Create a new document." ma:contentTypeScope="" ma:versionID="53c6a75c1dc2e3e96ac04e6d146483af">
  <xsd:schema xmlns:xsd="http://www.w3.org/2001/XMLSchema" xmlns:xs="http://www.w3.org/2001/XMLSchema" xmlns:p="http://schemas.microsoft.com/office/2006/metadata/properties" xmlns:ns2="f06edbc9-4a38-4633-ac57-12812ade00da" xmlns:ns3="5733c3ee-3ed4-4876-80d1-ffc06c69238d" targetNamespace="http://schemas.microsoft.com/office/2006/metadata/properties" ma:root="true" ma:fieldsID="3e06dbbfe3e4aaeee4bddc3101a9e35d" ns2:_="" ns3:_="">
    <xsd:import namespace="f06edbc9-4a38-4633-ac57-12812ade00da"/>
    <xsd:import namespace="5733c3ee-3ed4-4876-80d1-ffc06c6923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6edbc9-4a38-4633-ac57-12812ade00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1eb04f-e05f-4397-87ae-cd0659b49bd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33c3ee-3ed4-4876-80d1-ffc06c69238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4d54e4-43ca-4912-830a-8b9c716c240c}" ma:internalName="TaxCatchAll" ma:showField="CatchAllData" ma:web="5733c3ee-3ed4-4876-80d1-ffc06c6923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06edbc9-4a38-4633-ac57-12812ade00da">
      <Terms xmlns="http://schemas.microsoft.com/office/infopath/2007/PartnerControls"/>
    </lcf76f155ced4ddcb4097134ff3c332f>
    <TaxCatchAll xmlns="5733c3ee-3ed4-4876-80d1-ffc06c69238d" xsi:nil="true"/>
  </documentManagement>
</p:properties>
</file>

<file path=customXml/itemProps1.xml><?xml version="1.0" encoding="utf-8"?>
<ds:datastoreItem xmlns:ds="http://schemas.openxmlformats.org/officeDocument/2006/customXml" ds:itemID="{E4E1008E-0EA9-4068-A64A-3C8989AC9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6edbc9-4a38-4633-ac57-12812ade00da"/>
    <ds:schemaRef ds:uri="5733c3ee-3ed4-4876-80d1-ffc06c6923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7F6E31-BF27-413D-8B3C-8BE952A57230}">
  <ds:schemaRefs>
    <ds:schemaRef ds:uri="http://schemas.microsoft.com/sharepoint/v3/contenttype/forms"/>
  </ds:schemaRefs>
</ds:datastoreItem>
</file>

<file path=customXml/itemProps3.xml><?xml version="1.0" encoding="utf-8"?>
<ds:datastoreItem xmlns:ds="http://schemas.openxmlformats.org/officeDocument/2006/customXml" ds:itemID="{83A88F22-D67D-4FD3-A5F6-8D9BAC205FDE}">
  <ds:schemaRefs>
    <ds:schemaRef ds:uri="http://schemas.microsoft.com/office/2006/metadata/properties"/>
    <ds:schemaRef ds:uri="http://schemas.microsoft.com/office/infopath/2007/PartnerControls"/>
    <ds:schemaRef ds:uri="f06edbc9-4a38-4633-ac57-12812ade00da"/>
    <ds:schemaRef ds:uri="5733c3ee-3ed4-4876-80d1-ffc06c69238d"/>
  </ds:schemaRefs>
</ds:datastoreItem>
</file>

<file path=docProps/app.xml><?xml version="1.0" encoding="utf-8"?>
<Properties xmlns="http://schemas.openxmlformats.org/officeDocument/2006/extended-properties" xmlns:vt="http://schemas.openxmlformats.org/officeDocument/2006/docPropsVTypes">
  <Template>Guide Form Specification</Template>
  <TotalTime>116</TotalTime>
  <Pages>20</Pages>
  <Words>7933</Words>
  <Characters>48477</Characters>
  <Application>Microsoft Office Word</Application>
  <DocSecurity>0</DocSecurity>
  <Lines>844</Lines>
  <Paragraphs>406</Paragraphs>
  <ScaleCrop>false</ScaleCrop>
  <HeadingPairs>
    <vt:vector size="2" baseType="variant">
      <vt:variant>
        <vt:lpstr>Title</vt:lpstr>
      </vt:variant>
      <vt:variant>
        <vt:i4>1</vt:i4>
      </vt:variant>
    </vt:vector>
  </HeadingPairs>
  <TitlesOfParts>
    <vt:vector size="1" baseType="lpstr">
      <vt:lpstr>Guide Form Specification</vt:lpstr>
    </vt:vector>
  </TitlesOfParts>
  <Company>VarStec Power Solutions</Company>
  <LinksUpToDate>false</LinksUpToDate>
  <CharactersWithSpaces>56216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Form Specification for medium-voltage metal-enclosed renewables filter ready capacitor bank</dc:title>
  <dc:creator>Paul Steciuk;Paul B. Steciuk;VarStec Power Solutions</dc:creator>
  <dc:description>Professiona guideform engineering specification for metal-enclosed filter ready capacitor bank for application on a renewables collector system.</dc:description>
  <cp:lastModifiedBy>Justine Steciuk</cp:lastModifiedBy>
  <cp:revision>90</cp:revision>
  <cp:lastPrinted>2026-04-21T15:52:00Z</cp:lastPrinted>
  <dcterms:created xsi:type="dcterms:W3CDTF">2026-04-07T16:22:00Z</dcterms:created>
  <dcterms:modified xsi:type="dcterms:W3CDTF">2026-04-21T15:57:00Z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0x010100D339AD2BD9EF5744A93D330800BBA098</vt:lpwstr>
  </property>
</Properties>
</file>